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4F4" w:rsidRPr="002534F4" w:rsidRDefault="521E4423" w:rsidP="521E4423">
      <w:pPr>
        <w:pStyle w:val="Overskrift1"/>
        <w:jc w:val="center"/>
        <w:rPr>
          <w:rFonts w:ascii="Open Sans" w:hAnsi="Open Sans"/>
        </w:rPr>
      </w:pPr>
      <w:bookmarkStart w:id="0" w:name="_GoBack"/>
      <w:r w:rsidRPr="521E4423">
        <w:rPr>
          <w:rFonts w:ascii="Open Sans" w:hAnsi="Open Sans"/>
        </w:rPr>
        <w:t>Intensjonsavtale om et mer inkluderende arbeidsliv</w:t>
      </w:r>
      <w:bookmarkEnd w:id="0"/>
    </w:p>
    <w:p w:rsidR="002534F4" w:rsidRPr="002534F4" w:rsidRDefault="002534F4" w:rsidP="00B328DA">
      <w:pPr>
        <w:jc w:val="center"/>
        <w:rPr>
          <w:rFonts w:ascii="Open Sans" w:hAnsi="Open Sans"/>
          <w:b/>
          <w:sz w:val="26"/>
          <w:szCs w:val="26"/>
        </w:rPr>
      </w:pPr>
    </w:p>
    <w:p w:rsidR="002534F4" w:rsidRPr="002534F4" w:rsidRDefault="521E4423" w:rsidP="521E4423">
      <w:pPr>
        <w:jc w:val="center"/>
        <w:rPr>
          <w:rFonts w:ascii="Open Sans" w:hAnsi="Open Sans"/>
          <w:b/>
          <w:bCs/>
          <w:sz w:val="21"/>
          <w:szCs w:val="21"/>
        </w:rPr>
      </w:pPr>
      <w:r w:rsidRPr="521E4423">
        <w:rPr>
          <w:rFonts w:ascii="Open Sans" w:hAnsi="Open Sans"/>
          <w:b/>
          <w:bCs/>
          <w:sz w:val="26"/>
          <w:szCs w:val="26"/>
        </w:rPr>
        <w:t>Et arbeidsliv med plass for alle</w:t>
      </w:r>
      <w:r w:rsidR="002534F4">
        <w:br/>
      </w:r>
    </w:p>
    <w:p w:rsidR="002534F4" w:rsidRPr="002534F4" w:rsidRDefault="002534F4" w:rsidP="00B328DA">
      <w:pPr>
        <w:jc w:val="center"/>
        <w:rPr>
          <w:rFonts w:ascii="Open Sans" w:hAnsi="Open Sans"/>
          <w:sz w:val="21"/>
        </w:rPr>
      </w:pPr>
      <w:r w:rsidRPr="002534F4">
        <w:rPr>
          <w:rFonts w:ascii="Open Sans" w:hAnsi="Open Sans"/>
          <w:b/>
          <w:sz w:val="21"/>
        </w:rPr>
        <w:t>1. januar 2019 – 31. desember 2022</w:t>
      </w:r>
    </w:p>
    <w:p w:rsidR="002534F4" w:rsidRPr="002534F4" w:rsidRDefault="002534F4" w:rsidP="002534F4">
      <w:pPr>
        <w:rPr>
          <w:rFonts w:ascii="Open Sans" w:hAnsi="Open Sans"/>
          <w:sz w:val="21"/>
        </w:rPr>
      </w:pPr>
    </w:p>
    <w:p w:rsidR="002534F4" w:rsidRPr="002534F4" w:rsidRDefault="002534F4" w:rsidP="002534F4">
      <w:pPr>
        <w:rPr>
          <w:rFonts w:ascii="Open Sans" w:hAnsi="Open Sans"/>
          <w:sz w:val="21"/>
        </w:rPr>
      </w:pPr>
      <w:r w:rsidRPr="002534F4">
        <w:rPr>
          <w:rFonts w:ascii="Open Sans" w:hAnsi="Open Sans"/>
          <w:sz w:val="21"/>
        </w:rPr>
        <w:t xml:space="preserve">Den norske arbeidslivsmodellen har gitt gode resultater for sysselsetting, produktivitet, omstillingsevne og et lærende arbeidsliv. I Norge arbeider de fleste under gode og forsvarlige arbeidsforhold. På mange arbeidsplasser jobbes det godt og systematisk med å forebygge og redusere sykefravær og frafall, og mange tar også et stort samfunnsansvar ved å bidra til integrering og inkludering i arbeidslivet.  </w:t>
      </w:r>
    </w:p>
    <w:p w:rsidR="002534F4" w:rsidRPr="002534F4" w:rsidRDefault="521E4423" w:rsidP="521E4423">
      <w:pPr>
        <w:keepNext/>
        <w:keepLines/>
        <w:spacing w:before="240" w:after="60"/>
        <w:outlineLvl w:val="2"/>
        <w:rPr>
          <w:rFonts w:ascii="Open Sans" w:eastAsiaTheme="majorEastAsia" w:hAnsi="Open Sans" w:cstheme="majorBidi"/>
          <w:b/>
          <w:bCs/>
          <w:sz w:val="21"/>
          <w:szCs w:val="21"/>
        </w:rPr>
      </w:pPr>
      <w:r w:rsidRPr="521E4423">
        <w:rPr>
          <w:rFonts w:ascii="Open Sans" w:eastAsiaTheme="majorEastAsia" w:hAnsi="Open Sans" w:cstheme="majorBidi"/>
          <w:b/>
          <w:bCs/>
          <w:sz w:val="21"/>
          <w:szCs w:val="21"/>
        </w:rPr>
        <w:t>Målet er å legge til rette for at så mange som mulig kan arbeide så mye som mulig, så lenge som mulig</w:t>
      </w:r>
    </w:p>
    <w:p w:rsidR="002534F4" w:rsidRPr="002534F4" w:rsidRDefault="521E4423" w:rsidP="521E4423">
      <w:pPr>
        <w:rPr>
          <w:rFonts w:ascii="Open Sans" w:hAnsi="Open Sans"/>
          <w:sz w:val="21"/>
          <w:szCs w:val="21"/>
        </w:rPr>
      </w:pPr>
      <w:r w:rsidRPr="521E4423">
        <w:rPr>
          <w:rFonts w:ascii="Open Sans" w:hAnsi="Open Sans"/>
          <w:sz w:val="21"/>
          <w:szCs w:val="21"/>
        </w:rPr>
        <w:t xml:space="preserve">Arbeidskraften er Norges viktigste ressurs. Høy sysselsetting er grunnlaget for å opprettholde et bærekraftig velferdssamfunn, samtidig som det er av stor betydning for den enkelte å være i jobb. Trepartssamarbeidet om et mer inkluderende arbeidsliv skal bidra til høy sysselsetting og mobilisering av arbeidskraft gjennom </w:t>
      </w:r>
      <w:proofErr w:type="gramStart"/>
      <w:r w:rsidRPr="521E4423">
        <w:rPr>
          <w:rFonts w:ascii="Open Sans" w:hAnsi="Open Sans"/>
          <w:sz w:val="21"/>
          <w:szCs w:val="21"/>
        </w:rPr>
        <w:t>å</w:t>
      </w:r>
      <w:proofErr w:type="gramEnd"/>
      <w:r w:rsidRPr="521E4423">
        <w:rPr>
          <w:rFonts w:ascii="Open Sans" w:hAnsi="Open Sans"/>
          <w:sz w:val="21"/>
          <w:szCs w:val="21"/>
        </w:rPr>
        <w:t xml:space="preserve"> </w:t>
      </w:r>
      <w:proofErr w:type="gramStart"/>
      <w:r w:rsidRPr="521E4423">
        <w:rPr>
          <w:rFonts w:ascii="Open Sans" w:hAnsi="Open Sans"/>
          <w:sz w:val="21"/>
          <w:szCs w:val="21"/>
        </w:rPr>
        <w:t>forebygge og redusere sykefravær og frafall fra arbeidslivet.</w:t>
      </w:r>
      <w:proofErr w:type="gramEnd"/>
      <w:r w:rsidRPr="521E4423">
        <w:rPr>
          <w:rFonts w:ascii="Open Sans" w:hAnsi="Open Sans"/>
          <w:sz w:val="21"/>
          <w:szCs w:val="21"/>
        </w:rPr>
        <w:t xml:space="preserve"> </w:t>
      </w:r>
    </w:p>
    <w:p w:rsidR="002534F4" w:rsidRPr="002534F4" w:rsidRDefault="521E4423" w:rsidP="521E4423">
      <w:pPr>
        <w:keepNext/>
        <w:keepLines/>
        <w:spacing w:before="240" w:after="60"/>
        <w:outlineLvl w:val="2"/>
        <w:rPr>
          <w:rFonts w:ascii="Open Sans" w:eastAsiaTheme="majorEastAsia" w:hAnsi="Open Sans" w:cstheme="majorBidi"/>
          <w:b/>
          <w:bCs/>
          <w:sz w:val="21"/>
          <w:szCs w:val="21"/>
        </w:rPr>
      </w:pPr>
      <w:r w:rsidRPr="521E4423">
        <w:rPr>
          <w:rFonts w:ascii="Open Sans" w:eastAsiaTheme="majorEastAsia" w:hAnsi="Open Sans" w:cstheme="majorBidi"/>
          <w:b/>
          <w:bCs/>
          <w:sz w:val="21"/>
          <w:szCs w:val="21"/>
        </w:rPr>
        <w:t>IA-avtalen setter arbeidsplassen i sentrum</w:t>
      </w:r>
    </w:p>
    <w:p w:rsidR="002534F4" w:rsidRPr="002534F4" w:rsidRDefault="002534F4" w:rsidP="002534F4">
      <w:pPr>
        <w:rPr>
          <w:rFonts w:ascii="Open Sans" w:hAnsi="Open Sans"/>
          <w:sz w:val="21"/>
        </w:rPr>
      </w:pPr>
      <w:r w:rsidRPr="002534F4">
        <w:rPr>
          <w:rFonts w:ascii="Open Sans" w:hAnsi="Open Sans"/>
          <w:sz w:val="21"/>
        </w:rPr>
        <w:t xml:space="preserve">Avtalens innsatsområder, organisering og virkemidler skal støtte arbeidet som ledere, tillitsvalgte, verneombud og ansatte gjør </w:t>
      </w:r>
      <w:r w:rsidR="00F12BD4">
        <w:rPr>
          <w:rFonts w:ascii="Open Sans" w:hAnsi="Open Sans"/>
          <w:sz w:val="21"/>
        </w:rPr>
        <w:t>i</w:t>
      </w:r>
      <w:r w:rsidR="00F12BD4" w:rsidRPr="002534F4">
        <w:rPr>
          <w:rFonts w:ascii="Open Sans" w:hAnsi="Open Sans"/>
          <w:sz w:val="21"/>
        </w:rPr>
        <w:t xml:space="preserve"> </w:t>
      </w:r>
      <w:r w:rsidRPr="002534F4">
        <w:rPr>
          <w:rFonts w:ascii="Open Sans" w:hAnsi="Open Sans"/>
          <w:sz w:val="21"/>
        </w:rPr>
        <w:t xml:space="preserve">den enkelte virksomhet. Det handler om et godt forebyggende arbeidsmiljø- og sykefraværsarbeid, men også om å være tidlig ute med kartlegging, drøfting og innsats for kompetanseheving. Virksomhetenes arbeid og innsats innenfor disse områdene bidrar til å forebygge og redusere sykefravær og frafall og legger til rette for inkludering. Trepartssamarbeidet skal understøtte og muliggjøre oppfølging og resultater i den enkelte virksomhet. For å oppnå målene for avtalen, må innsats og virkemidler på alle nivåer bygge på relevant kunnskap. </w:t>
      </w:r>
    </w:p>
    <w:p w:rsidR="002534F4" w:rsidRPr="002534F4" w:rsidRDefault="002534F4" w:rsidP="002534F4">
      <w:pPr>
        <w:keepNext/>
        <w:keepLines/>
        <w:spacing w:before="240" w:after="60"/>
        <w:outlineLvl w:val="2"/>
        <w:rPr>
          <w:rFonts w:ascii="Open Sans" w:eastAsiaTheme="majorEastAsia" w:hAnsi="Open Sans" w:cstheme="majorBidi"/>
          <w:b/>
          <w:sz w:val="21"/>
          <w:szCs w:val="24"/>
        </w:rPr>
      </w:pPr>
      <w:r w:rsidRPr="002534F4">
        <w:rPr>
          <w:rFonts w:ascii="Open Sans" w:eastAsiaTheme="majorEastAsia" w:hAnsi="Open Sans" w:cstheme="majorBidi"/>
          <w:b/>
          <w:sz w:val="21"/>
          <w:szCs w:val="24"/>
        </w:rPr>
        <w:t>Arbeidslivet er i kontinuerlig endring</w:t>
      </w:r>
    </w:p>
    <w:p w:rsidR="002534F4" w:rsidRPr="002534F4" w:rsidRDefault="521E4423" w:rsidP="521E4423">
      <w:pPr>
        <w:rPr>
          <w:rFonts w:ascii="Open Sans" w:hAnsi="Open Sans"/>
          <w:sz w:val="21"/>
          <w:szCs w:val="21"/>
        </w:rPr>
      </w:pPr>
      <w:r w:rsidRPr="521E4423">
        <w:rPr>
          <w:rFonts w:ascii="Open Sans" w:hAnsi="Open Sans"/>
          <w:sz w:val="21"/>
          <w:szCs w:val="21"/>
        </w:rPr>
        <w:t xml:space="preserve">Store endringer som teknologiutvikling, klimautfordringer, internasjonalisering, endring i næringsstruktur, innvandring og aldring av befolkningen vil påvirke arbeidslivet og kompetansebehovene i samfunnet i årene framover. Å møte disse utviklingstrekkene krever en helhetlig innsats gjennom trepartssamarbeidet. </w:t>
      </w:r>
    </w:p>
    <w:p w:rsidR="002534F4" w:rsidRPr="002534F4" w:rsidRDefault="002534F4" w:rsidP="002534F4">
      <w:pPr>
        <w:keepNext/>
        <w:keepLines/>
        <w:spacing w:before="240" w:after="60"/>
        <w:outlineLvl w:val="2"/>
        <w:rPr>
          <w:rFonts w:ascii="Open Sans" w:eastAsiaTheme="majorEastAsia" w:hAnsi="Open Sans" w:cstheme="majorBidi"/>
          <w:b/>
          <w:sz w:val="21"/>
          <w:szCs w:val="24"/>
        </w:rPr>
      </w:pPr>
      <w:r w:rsidRPr="002534F4">
        <w:rPr>
          <w:rFonts w:ascii="Open Sans" w:eastAsiaTheme="majorEastAsia" w:hAnsi="Open Sans" w:cstheme="majorBidi"/>
          <w:b/>
          <w:sz w:val="21"/>
          <w:szCs w:val="24"/>
        </w:rPr>
        <w:t>Et helhetlig samarbeid</w:t>
      </w:r>
    </w:p>
    <w:p w:rsidR="00F12BD4" w:rsidRDefault="521E4423" w:rsidP="521E4423">
      <w:pPr>
        <w:rPr>
          <w:rFonts w:ascii="Open Sans" w:hAnsi="Open Sans"/>
          <w:sz w:val="21"/>
          <w:szCs w:val="21"/>
        </w:rPr>
      </w:pPr>
      <w:r w:rsidRPr="521E4423">
        <w:rPr>
          <w:rFonts w:ascii="Open Sans" w:hAnsi="Open Sans"/>
          <w:sz w:val="21"/>
          <w:szCs w:val="21"/>
        </w:rPr>
        <w:t xml:space="preserve">Et godt samarbeid mellom partene, både trepartssamarbeid på samfunnsnivå og topartssamarbeid på arbeidsplassene, er det viktigste verktøyet i inkluderingsarbeidet. IA-avtalen må sees i sammenheng med øvrige prosesser som omhandler kompetanse, sysselsetting og inkludering. Partene samarbeider godt om utdannings- og kompetansepolitikken og arbeids- og velferdspolitikken, og bidrar aktivt i regjeringens satsinger på integrering og inkludering. </w:t>
      </w:r>
    </w:p>
    <w:p w:rsidR="00F12BD4" w:rsidRDefault="00E22EB2" w:rsidP="002534F4">
      <w:pPr>
        <w:rPr>
          <w:rFonts w:ascii="Open Sans" w:hAnsi="Open Sans"/>
          <w:sz w:val="21"/>
        </w:rPr>
      </w:pPr>
      <w:r>
        <w:rPr>
          <w:rFonts w:ascii="Open Sans" w:hAnsi="Open Sans"/>
          <w:sz w:val="21"/>
        </w:rPr>
        <w:lastRenderedPageBreak/>
        <w:t xml:space="preserve">IA-avtalens viktigste </w:t>
      </w:r>
      <w:r w:rsidR="002534F4" w:rsidRPr="002534F4">
        <w:rPr>
          <w:rFonts w:ascii="Open Sans" w:hAnsi="Open Sans"/>
          <w:sz w:val="21"/>
        </w:rPr>
        <w:t xml:space="preserve">bidrag i denne helheten er felles innsats fra partene på arbeidsplassen for å forebygge sykefravær og frafall og fremme inkludering. Myndighetene skal gjennom sine virkemidler støtte opp under dette arbeidet. </w:t>
      </w:r>
    </w:p>
    <w:p w:rsidR="00F12BD4" w:rsidRDefault="00F12BD4" w:rsidP="002534F4">
      <w:pPr>
        <w:rPr>
          <w:rFonts w:ascii="Open Sans" w:hAnsi="Open Sans"/>
          <w:sz w:val="21"/>
        </w:rPr>
      </w:pPr>
    </w:p>
    <w:p w:rsidR="002534F4" w:rsidRDefault="002534F4" w:rsidP="002534F4">
      <w:pPr>
        <w:rPr>
          <w:rFonts w:ascii="Open Sans" w:hAnsi="Open Sans"/>
          <w:sz w:val="21"/>
        </w:rPr>
      </w:pPr>
      <w:r w:rsidRPr="002534F4">
        <w:rPr>
          <w:rFonts w:ascii="Open Sans" w:hAnsi="Open Sans"/>
          <w:sz w:val="21"/>
        </w:rPr>
        <w:t>Regjeringen vil ikke foreslå endringer i sykelønnsordningen i denne</w:t>
      </w:r>
      <w:r w:rsidR="00057A36">
        <w:rPr>
          <w:rFonts w:ascii="Open Sans" w:hAnsi="Open Sans"/>
          <w:sz w:val="21"/>
        </w:rPr>
        <w:t xml:space="preserve"> </w:t>
      </w:r>
      <w:r w:rsidR="005651E0">
        <w:rPr>
          <w:rFonts w:ascii="Open Sans" w:hAnsi="Open Sans"/>
          <w:sz w:val="21"/>
        </w:rPr>
        <w:t>avtale</w:t>
      </w:r>
      <w:r w:rsidRPr="002534F4">
        <w:rPr>
          <w:rFonts w:ascii="Open Sans" w:hAnsi="Open Sans"/>
          <w:sz w:val="21"/>
        </w:rPr>
        <w:t>perioden,</w:t>
      </w:r>
      <w:r w:rsidR="005651E0">
        <w:rPr>
          <w:rFonts w:ascii="Open Sans" w:hAnsi="Open Sans"/>
          <w:sz w:val="21"/>
        </w:rPr>
        <w:t xml:space="preserve"> verken for arbeidsgivere eller arbeidstakere,</w:t>
      </w:r>
      <w:r w:rsidRPr="002534F4">
        <w:rPr>
          <w:rFonts w:ascii="Open Sans" w:hAnsi="Open Sans"/>
          <w:sz w:val="21"/>
        </w:rPr>
        <w:t xml:space="preserve"> med mindre partene er enige om det. Avtalen forhindrer likevel ikke at partene kan diskutere problemstillinger knyttet til sykelønn.</w:t>
      </w:r>
    </w:p>
    <w:p w:rsidR="00F12BD4" w:rsidRPr="002534F4" w:rsidRDefault="00F12BD4" w:rsidP="002534F4">
      <w:pPr>
        <w:rPr>
          <w:rFonts w:ascii="Open Sans" w:hAnsi="Open Sans"/>
          <w:sz w:val="21"/>
        </w:rPr>
      </w:pPr>
    </w:p>
    <w:p w:rsidR="00F12BD4" w:rsidRPr="00F12BD4" w:rsidRDefault="002534F4" w:rsidP="00C23DC3">
      <w:pPr>
        <w:pStyle w:val="Overskrift1"/>
      </w:pPr>
      <w:r w:rsidRPr="002534F4">
        <w:t xml:space="preserve">Mål for </w:t>
      </w:r>
      <w:r w:rsidRPr="0095275A">
        <w:rPr>
          <w:rFonts w:ascii="Open Sans" w:hAnsi="Open Sans" w:cs="Open Sans"/>
        </w:rPr>
        <w:t>samarbeidet</w:t>
      </w:r>
    </w:p>
    <w:p w:rsidR="002534F4" w:rsidRPr="0095275A" w:rsidRDefault="002534F4" w:rsidP="00F12BD4">
      <w:pPr>
        <w:pStyle w:val="Overskrift2"/>
        <w:rPr>
          <w:rFonts w:ascii="Open Sans" w:hAnsi="Open Sans" w:cs="Open Sans"/>
        </w:rPr>
      </w:pPr>
      <w:r w:rsidRPr="0095275A">
        <w:rPr>
          <w:rFonts w:ascii="Open Sans" w:hAnsi="Open Sans" w:cs="Open Sans"/>
        </w:rPr>
        <w:t>Mål på nasjonalt nivå</w:t>
      </w:r>
    </w:p>
    <w:p w:rsidR="002534F4" w:rsidRPr="002534F4" w:rsidRDefault="002534F4" w:rsidP="002534F4">
      <w:pPr>
        <w:rPr>
          <w:rFonts w:ascii="Open Sans" w:hAnsi="Open Sans"/>
          <w:sz w:val="21"/>
        </w:rPr>
      </w:pPr>
      <w:r w:rsidRPr="002534F4">
        <w:rPr>
          <w:rFonts w:ascii="Open Sans" w:hAnsi="Open Sans"/>
          <w:sz w:val="21"/>
        </w:rPr>
        <w:t>IA-avtalen skal skape et arbeidsliv med plass til alle gjennom å forebygge sykefravær og frafall og på denne måten bidra til å øke sysselsettingen.</w:t>
      </w:r>
    </w:p>
    <w:p w:rsidR="002534F4" w:rsidRPr="002534F4" w:rsidRDefault="002534F4" w:rsidP="002534F4">
      <w:pPr>
        <w:rPr>
          <w:rFonts w:ascii="Open Sans" w:hAnsi="Open Sans"/>
          <w:sz w:val="21"/>
        </w:rPr>
      </w:pPr>
    </w:p>
    <w:p w:rsidR="002534F4" w:rsidRPr="002534F4" w:rsidRDefault="006D7995" w:rsidP="002534F4">
      <w:pPr>
        <w:numPr>
          <w:ilvl w:val="0"/>
          <w:numId w:val="28"/>
        </w:numPr>
        <w:rPr>
          <w:rFonts w:ascii="Open Sans" w:hAnsi="Open Sans"/>
          <w:sz w:val="21"/>
        </w:rPr>
      </w:pPr>
      <w:r>
        <w:rPr>
          <w:rFonts w:ascii="Open Sans" w:hAnsi="Open Sans"/>
          <w:sz w:val="21"/>
        </w:rPr>
        <w:t>Sykefravær: S</w:t>
      </w:r>
      <w:r w:rsidR="002534F4" w:rsidRPr="002534F4">
        <w:rPr>
          <w:rFonts w:ascii="Open Sans" w:hAnsi="Open Sans"/>
          <w:sz w:val="21"/>
        </w:rPr>
        <w:t xml:space="preserve">ykefraværsprosenten skal reduseres med 10 prosent sammenlignet med årsgjennomsnittet for 2018. </w:t>
      </w:r>
    </w:p>
    <w:p w:rsidR="002534F4" w:rsidRPr="002534F4" w:rsidRDefault="002534F4" w:rsidP="002534F4">
      <w:pPr>
        <w:numPr>
          <w:ilvl w:val="1"/>
          <w:numId w:val="28"/>
        </w:numPr>
        <w:rPr>
          <w:rFonts w:ascii="Open Sans" w:hAnsi="Open Sans"/>
          <w:sz w:val="21"/>
        </w:rPr>
      </w:pPr>
      <w:r w:rsidRPr="002534F4">
        <w:rPr>
          <w:rFonts w:ascii="Open Sans" w:hAnsi="Open Sans"/>
          <w:sz w:val="21"/>
        </w:rPr>
        <w:t>Flere sektorer, bransjer og virksomheter har et lavt sykefravær. I disse bransjene og virksomhetene vil det kunne være et mål i seg selv å opprettholde det lave fraværet og fokusere innsatsen på forebyggende arbeidsmiljøarbeid og på å redusere frafall fra arbeidslivet.</w:t>
      </w:r>
    </w:p>
    <w:p w:rsidR="002534F4" w:rsidRPr="002534F4" w:rsidRDefault="002534F4" w:rsidP="002534F4">
      <w:pPr>
        <w:rPr>
          <w:rFonts w:ascii="Open Sans" w:hAnsi="Open Sans"/>
          <w:sz w:val="21"/>
        </w:rPr>
      </w:pPr>
    </w:p>
    <w:p w:rsidR="00A940D4" w:rsidRDefault="002534F4" w:rsidP="007477B0">
      <w:pPr>
        <w:numPr>
          <w:ilvl w:val="0"/>
          <w:numId w:val="28"/>
        </w:numPr>
        <w:rPr>
          <w:rFonts w:ascii="Open Sans" w:hAnsi="Open Sans"/>
          <w:sz w:val="21"/>
        </w:rPr>
      </w:pPr>
      <w:r w:rsidRPr="00A940D4">
        <w:rPr>
          <w:rFonts w:ascii="Open Sans" w:hAnsi="Open Sans"/>
          <w:sz w:val="21"/>
        </w:rPr>
        <w:t>Frafall: Frafallet fra arbeidslivet skal reduseres.</w:t>
      </w:r>
      <w:r w:rsidRPr="002534F4">
        <w:rPr>
          <w:rFonts w:ascii="Open Sans" w:hAnsi="Open Sans"/>
          <w:sz w:val="21"/>
        </w:rPr>
        <w:t xml:space="preserve"> </w:t>
      </w:r>
    </w:p>
    <w:p w:rsidR="002534F4" w:rsidRPr="00A940D4" w:rsidRDefault="00A940D4" w:rsidP="00A940D4">
      <w:pPr>
        <w:numPr>
          <w:ilvl w:val="1"/>
          <w:numId w:val="28"/>
        </w:numPr>
        <w:rPr>
          <w:rFonts w:ascii="Open Sans" w:hAnsi="Open Sans"/>
          <w:sz w:val="21"/>
        </w:rPr>
      </w:pPr>
      <w:r w:rsidRPr="00A940D4">
        <w:rPr>
          <w:rFonts w:ascii="Open Sans" w:hAnsi="Open Sans"/>
          <w:sz w:val="21"/>
        </w:rPr>
        <w:t xml:space="preserve">Med </w:t>
      </w:r>
      <w:r w:rsidR="00021F5A">
        <w:rPr>
          <w:rFonts w:ascii="Open Sans" w:hAnsi="Open Sans"/>
          <w:sz w:val="21"/>
        </w:rPr>
        <w:t>frafall menes</w:t>
      </w:r>
      <w:r w:rsidRPr="00A940D4">
        <w:rPr>
          <w:rFonts w:ascii="Open Sans" w:hAnsi="Open Sans"/>
          <w:sz w:val="21"/>
        </w:rPr>
        <w:t xml:space="preserve"> personer i yrkesaktiv al</w:t>
      </w:r>
      <w:r w:rsidR="00C23DC3">
        <w:rPr>
          <w:rFonts w:ascii="Open Sans" w:hAnsi="Open Sans"/>
          <w:sz w:val="21"/>
        </w:rPr>
        <w:t xml:space="preserve">der som ikke kommer tilbake til </w:t>
      </w:r>
      <w:r w:rsidRPr="00A940D4">
        <w:rPr>
          <w:rFonts w:ascii="Open Sans" w:hAnsi="Open Sans"/>
          <w:sz w:val="21"/>
        </w:rPr>
        <w:t>arbeid etter fravæ</w:t>
      </w:r>
      <w:r>
        <w:rPr>
          <w:rFonts w:ascii="Open Sans" w:hAnsi="Open Sans"/>
          <w:sz w:val="21"/>
        </w:rPr>
        <w:t xml:space="preserve">r. Det er vanligvis </w:t>
      </w:r>
      <w:proofErr w:type="spellStart"/>
      <w:proofErr w:type="gramStart"/>
      <w:r>
        <w:rPr>
          <w:rFonts w:ascii="Open Sans" w:hAnsi="Open Sans"/>
          <w:sz w:val="21"/>
        </w:rPr>
        <w:t>langtidssyk</w:t>
      </w:r>
      <w:r w:rsidRPr="00A940D4">
        <w:rPr>
          <w:rFonts w:ascii="Open Sans" w:hAnsi="Open Sans"/>
          <w:sz w:val="21"/>
        </w:rPr>
        <w:t>meldte</w:t>
      </w:r>
      <w:proofErr w:type="spellEnd"/>
      <w:proofErr w:type="gramEnd"/>
      <w:r w:rsidRPr="00A940D4">
        <w:rPr>
          <w:rFonts w:ascii="Open Sans" w:hAnsi="Open Sans"/>
          <w:sz w:val="21"/>
        </w:rPr>
        <w:t xml:space="preserve"> som går over på </w:t>
      </w:r>
      <w:r w:rsidR="006D7995">
        <w:rPr>
          <w:rFonts w:ascii="Open Sans" w:hAnsi="Open Sans"/>
          <w:sz w:val="21"/>
        </w:rPr>
        <w:t>arbeidsavklaringspenger</w:t>
      </w:r>
      <w:r w:rsidRPr="00A940D4">
        <w:rPr>
          <w:rFonts w:ascii="Open Sans" w:hAnsi="Open Sans"/>
          <w:sz w:val="21"/>
        </w:rPr>
        <w:t xml:space="preserve"> og etter hvert til uføretrygd, eller personer som går over til tidligpensjonering.</w:t>
      </w:r>
    </w:p>
    <w:p w:rsidR="00A940D4" w:rsidRPr="002534F4" w:rsidRDefault="00A940D4" w:rsidP="002534F4">
      <w:pPr>
        <w:rPr>
          <w:rFonts w:ascii="Open Sans" w:hAnsi="Open Sans"/>
          <w:sz w:val="21"/>
        </w:rPr>
      </w:pPr>
    </w:p>
    <w:p w:rsidR="002534F4" w:rsidRDefault="521E4423" w:rsidP="521E4423">
      <w:pPr>
        <w:rPr>
          <w:rFonts w:ascii="Open Sans" w:hAnsi="Open Sans"/>
          <w:sz w:val="21"/>
          <w:szCs w:val="21"/>
        </w:rPr>
      </w:pPr>
      <w:r w:rsidRPr="521E4423">
        <w:rPr>
          <w:rFonts w:ascii="Open Sans" w:hAnsi="Open Sans"/>
          <w:sz w:val="21"/>
          <w:szCs w:val="21"/>
        </w:rPr>
        <w:t>Gjennom å jobbe godt og systematisk med å forebygge og redusere sykefravær og frafall, skal virksomhetene være med på å skape gode inkluderingsarenaer i arbeidslivet. IA-avtalens suksess må vurderes i lys av partenes konkrete innsats, aktiviteter og resultater. Det skal utvikles indikatorer som gir informasjon om aktiviteter og leveranser hos alle partene i samarbeidet, inkludert myndighetenes innsats.</w:t>
      </w:r>
    </w:p>
    <w:p w:rsidR="00F12BD4" w:rsidRPr="002534F4" w:rsidRDefault="00F12BD4" w:rsidP="002534F4">
      <w:pPr>
        <w:rPr>
          <w:rFonts w:ascii="Open Sans" w:hAnsi="Open Sans"/>
          <w:i/>
          <w:sz w:val="21"/>
        </w:rPr>
      </w:pPr>
    </w:p>
    <w:p w:rsidR="002534F4" w:rsidRPr="0095275A" w:rsidRDefault="002534F4" w:rsidP="00F12BD4">
      <w:pPr>
        <w:pStyle w:val="Overskrift2"/>
        <w:rPr>
          <w:rFonts w:ascii="Open Sans" w:hAnsi="Open Sans" w:cs="Open Sans"/>
        </w:rPr>
      </w:pPr>
      <w:r w:rsidRPr="0095275A">
        <w:rPr>
          <w:rFonts w:ascii="Open Sans" w:hAnsi="Open Sans" w:cs="Open Sans"/>
        </w:rPr>
        <w:t>Mål på bransje- og sektornivå</w:t>
      </w:r>
    </w:p>
    <w:p w:rsidR="00F12BD4" w:rsidRDefault="521E4423" w:rsidP="521E4423">
      <w:pPr>
        <w:rPr>
          <w:rFonts w:ascii="Open Sans" w:hAnsi="Open Sans"/>
          <w:sz w:val="21"/>
          <w:szCs w:val="21"/>
          <w:lang w:val="nn-NO"/>
        </w:rPr>
      </w:pPr>
      <w:r w:rsidRPr="521E4423">
        <w:rPr>
          <w:rFonts w:ascii="Open Sans" w:hAnsi="Open Sans"/>
          <w:sz w:val="21"/>
          <w:szCs w:val="21"/>
          <w:lang w:val="nn-NO"/>
        </w:rPr>
        <w:t xml:space="preserve">Den bransje- og sektorvise </w:t>
      </w:r>
      <w:proofErr w:type="spellStart"/>
      <w:r w:rsidRPr="521E4423">
        <w:rPr>
          <w:rFonts w:ascii="Open Sans" w:hAnsi="Open Sans"/>
          <w:sz w:val="21"/>
          <w:szCs w:val="21"/>
          <w:lang w:val="nn-NO"/>
        </w:rPr>
        <w:t>utviklingen</w:t>
      </w:r>
      <w:proofErr w:type="spellEnd"/>
      <w:r w:rsidRPr="521E4423">
        <w:rPr>
          <w:rFonts w:ascii="Open Sans" w:hAnsi="Open Sans"/>
          <w:sz w:val="21"/>
          <w:szCs w:val="21"/>
          <w:lang w:val="nn-NO"/>
        </w:rPr>
        <w:t xml:space="preserve"> </w:t>
      </w:r>
      <w:proofErr w:type="spellStart"/>
      <w:r w:rsidRPr="521E4423">
        <w:rPr>
          <w:rFonts w:ascii="Open Sans" w:hAnsi="Open Sans"/>
          <w:sz w:val="21"/>
          <w:szCs w:val="21"/>
          <w:lang w:val="nn-NO"/>
        </w:rPr>
        <w:t>innen</w:t>
      </w:r>
      <w:proofErr w:type="spellEnd"/>
      <w:r w:rsidRPr="521E4423">
        <w:rPr>
          <w:rFonts w:ascii="Open Sans" w:hAnsi="Open Sans"/>
          <w:sz w:val="21"/>
          <w:szCs w:val="21"/>
          <w:lang w:val="nn-NO"/>
        </w:rPr>
        <w:t xml:space="preserve"> arbeidsmiljø, </w:t>
      </w:r>
      <w:proofErr w:type="spellStart"/>
      <w:r w:rsidRPr="521E4423">
        <w:rPr>
          <w:rFonts w:ascii="Open Sans" w:hAnsi="Open Sans"/>
          <w:sz w:val="21"/>
          <w:szCs w:val="21"/>
          <w:lang w:val="nn-NO"/>
        </w:rPr>
        <w:t>sykefravær</w:t>
      </w:r>
      <w:proofErr w:type="spellEnd"/>
      <w:r w:rsidRPr="521E4423">
        <w:rPr>
          <w:rFonts w:ascii="Open Sans" w:hAnsi="Open Sans"/>
          <w:sz w:val="21"/>
          <w:szCs w:val="21"/>
          <w:lang w:val="nn-NO"/>
        </w:rPr>
        <w:t xml:space="preserve"> og </w:t>
      </w:r>
      <w:proofErr w:type="spellStart"/>
      <w:r w:rsidRPr="521E4423">
        <w:rPr>
          <w:rFonts w:ascii="Open Sans" w:hAnsi="Open Sans"/>
          <w:sz w:val="21"/>
          <w:szCs w:val="21"/>
          <w:lang w:val="nn-NO"/>
        </w:rPr>
        <w:t>frafall</w:t>
      </w:r>
      <w:proofErr w:type="spellEnd"/>
      <w:r w:rsidRPr="521E4423">
        <w:rPr>
          <w:rFonts w:ascii="Open Sans" w:hAnsi="Open Sans"/>
          <w:sz w:val="21"/>
          <w:szCs w:val="21"/>
          <w:lang w:val="nn-NO"/>
        </w:rPr>
        <w:t xml:space="preserve"> er viktig for </w:t>
      </w:r>
      <w:proofErr w:type="spellStart"/>
      <w:r w:rsidRPr="521E4423">
        <w:rPr>
          <w:rFonts w:ascii="Open Sans" w:hAnsi="Open Sans"/>
          <w:sz w:val="21"/>
          <w:szCs w:val="21"/>
          <w:lang w:val="nn-NO"/>
        </w:rPr>
        <w:t>utviklingen</w:t>
      </w:r>
      <w:proofErr w:type="spellEnd"/>
      <w:r w:rsidRPr="521E4423">
        <w:rPr>
          <w:rFonts w:ascii="Open Sans" w:hAnsi="Open Sans"/>
          <w:sz w:val="21"/>
          <w:szCs w:val="21"/>
          <w:lang w:val="nn-NO"/>
        </w:rPr>
        <w:t xml:space="preserve"> i avtalens nasjonale mål. </w:t>
      </w:r>
      <w:proofErr w:type="spellStart"/>
      <w:r w:rsidRPr="521E4423">
        <w:rPr>
          <w:rFonts w:ascii="Open Sans" w:hAnsi="Open Sans"/>
          <w:sz w:val="21"/>
          <w:szCs w:val="21"/>
          <w:lang w:val="nn-NO"/>
        </w:rPr>
        <w:t>Bransjer</w:t>
      </w:r>
      <w:proofErr w:type="spellEnd"/>
      <w:r w:rsidRPr="521E4423">
        <w:rPr>
          <w:rFonts w:ascii="Open Sans" w:hAnsi="Open Sans"/>
          <w:sz w:val="21"/>
          <w:szCs w:val="21"/>
          <w:lang w:val="nn-NO"/>
        </w:rPr>
        <w:t xml:space="preserve"> og sektorer har ulike utgangspunkt, </w:t>
      </w:r>
      <w:proofErr w:type="spellStart"/>
      <w:r w:rsidRPr="521E4423">
        <w:rPr>
          <w:rFonts w:ascii="Open Sans" w:hAnsi="Open Sans"/>
          <w:sz w:val="21"/>
          <w:szCs w:val="21"/>
          <w:lang w:val="nn-NO"/>
        </w:rPr>
        <w:t>utfordringer</w:t>
      </w:r>
      <w:proofErr w:type="spellEnd"/>
      <w:r w:rsidRPr="521E4423">
        <w:rPr>
          <w:rFonts w:ascii="Open Sans" w:hAnsi="Open Sans"/>
          <w:sz w:val="21"/>
          <w:szCs w:val="21"/>
          <w:lang w:val="nn-NO"/>
        </w:rPr>
        <w:t xml:space="preserve"> og utviklingstrekk, og vil bidra i ulik grad til å oppnå de nasjonale </w:t>
      </w:r>
      <w:proofErr w:type="spellStart"/>
      <w:r w:rsidRPr="521E4423">
        <w:rPr>
          <w:rFonts w:ascii="Open Sans" w:hAnsi="Open Sans"/>
          <w:sz w:val="21"/>
          <w:szCs w:val="21"/>
          <w:lang w:val="nn-NO"/>
        </w:rPr>
        <w:t>målene</w:t>
      </w:r>
      <w:proofErr w:type="spellEnd"/>
      <w:r w:rsidRPr="521E4423">
        <w:rPr>
          <w:rFonts w:ascii="Open Sans" w:hAnsi="Open Sans"/>
          <w:sz w:val="21"/>
          <w:szCs w:val="21"/>
          <w:lang w:val="nn-NO"/>
        </w:rPr>
        <w:t xml:space="preserve"> for IA-avtalen. </w:t>
      </w:r>
    </w:p>
    <w:p w:rsidR="00F12BD4" w:rsidRDefault="00F12BD4" w:rsidP="002534F4">
      <w:pPr>
        <w:rPr>
          <w:rFonts w:ascii="Open Sans" w:hAnsi="Open Sans"/>
          <w:sz w:val="21"/>
          <w:lang w:val="nn-NO"/>
        </w:rPr>
      </w:pPr>
    </w:p>
    <w:p w:rsidR="002534F4" w:rsidRDefault="002534F4" w:rsidP="002534F4">
      <w:pPr>
        <w:rPr>
          <w:rFonts w:ascii="Open Sans" w:hAnsi="Open Sans"/>
          <w:sz w:val="21"/>
          <w:lang w:val="nn-NO"/>
        </w:rPr>
      </w:pPr>
      <w:proofErr w:type="spellStart"/>
      <w:r w:rsidRPr="002534F4">
        <w:rPr>
          <w:rFonts w:ascii="Open Sans" w:hAnsi="Open Sans"/>
          <w:sz w:val="21"/>
          <w:lang w:val="nn-NO"/>
        </w:rPr>
        <w:t>Avtalepartene</w:t>
      </w:r>
      <w:proofErr w:type="spellEnd"/>
      <w:r w:rsidRPr="002534F4">
        <w:rPr>
          <w:rFonts w:ascii="Open Sans" w:hAnsi="Open Sans"/>
          <w:sz w:val="21"/>
          <w:lang w:val="nn-NO"/>
        </w:rPr>
        <w:t xml:space="preserve"> er </w:t>
      </w:r>
      <w:proofErr w:type="spellStart"/>
      <w:r w:rsidRPr="002534F4">
        <w:rPr>
          <w:rFonts w:ascii="Open Sans" w:hAnsi="Open Sans"/>
          <w:sz w:val="21"/>
          <w:lang w:val="nn-NO"/>
        </w:rPr>
        <w:t>enige</w:t>
      </w:r>
      <w:proofErr w:type="spellEnd"/>
      <w:r w:rsidRPr="002534F4">
        <w:rPr>
          <w:rFonts w:ascii="Open Sans" w:hAnsi="Open Sans"/>
          <w:sz w:val="21"/>
          <w:lang w:val="nn-NO"/>
        </w:rPr>
        <w:t xml:space="preserve"> om å målrette innsatsen mot </w:t>
      </w:r>
      <w:proofErr w:type="spellStart"/>
      <w:r w:rsidRPr="002534F4">
        <w:rPr>
          <w:rFonts w:ascii="Open Sans" w:hAnsi="Open Sans"/>
          <w:sz w:val="21"/>
          <w:lang w:val="nn-NO"/>
        </w:rPr>
        <w:t>bransjer</w:t>
      </w:r>
      <w:proofErr w:type="spellEnd"/>
      <w:r w:rsidRPr="002534F4">
        <w:rPr>
          <w:rFonts w:ascii="Open Sans" w:hAnsi="Open Sans"/>
          <w:sz w:val="21"/>
          <w:lang w:val="nn-NO"/>
        </w:rPr>
        <w:t xml:space="preserve"> og sektorer som har potensial</w:t>
      </w:r>
      <w:r w:rsidR="00021F5A">
        <w:rPr>
          <w:rFonts w:ascii="Open Sans" w:hAnsi="Open Sans"/>
          <w:sz w:val="21"/>
          <w:lang w:val="nn-NO"/>
        </w:rPr>
        <w:t xml:space="preserve"> for</w:t>
      </w:r>
      <w:r w:rsidRPr="002534F4">
        <w:rPr>
          <w:rFonts w:ascii="Open Sans" w:hAnsi="Open Sans"/>
          <w:sz w:val="21"/>
          <w:lang w:val="nn-NO"/>
        </w:rPr>
        <w:t xml:space="preserve"> </w:t>
      </w:r>
      <w:r w:rsidR="00FE0007">
        <w:rPr>
          <w:rFonts w:ascii="Open Sans" w:hAnsi="Open Sans"/>
          <w:sz w:val="21"/>
          <w:lang w:val="nn-NO"/>
        </w:rPr>
        <w:t>å redusere</w:t>
      </w:r>
      <w:r w:rsidRPr="002534F4">
        <w:rPr>
          <w:rFonts w:ascii="Open Sans" w:hAnsi="Open Sans"/>
          <w:sz w:val="21"/>
          <w:lang w:val="nn-NO"/>
        </w:rPr>
        <w:t xml:space="preserve"> </w:t>
      </w:r>
      <w:proofErr w:type="spellStart"/>
      <w:r w:rsidRPr="002534F4">
        <w:rPr>
          <w:rFonts w:ascii="Open Sans" w:hAnsi="Open Sans"/>
          <w:sz w:val="21"/>
          <w:lang w:val="nn-NO"/>
        </w:rPr>
        <w:t>sykefravær</w:t>
      </w:r>
      <w:proofErr w:type="spellEnd"/>
      <w:r w:rsidRPr="002534F4">
        <w:rPr>
          <w:rFonts w:ascii="Open Sans" w:hAnsi="Open Sans"/>
          <w:sz w:val="21"/>
          <w:lang w:val="nn-NO"/>
        </w:rPr>
        <w:t xml:space="preserve"> og </w:t>
      </w:r>
      <w:proofErr w:type="spellStart"/>
      <w:r w:rsidRPr="002534F4">
        <w:rPr>
          <w:rFonts w:ascii="Open Sans" w:hAnsi="Open Sans"/>
          <w:sz w:val="21"/>
          <w:lang w:val="nn-NO"/>
        </w:rPr>
        <w:t>frafall</w:t>
      </w:r>
      <w:proofErr w:type="spellEnd"/>
      <w:r w:rsidRPr="002534F4">
        <w:rPr>
          <w:rFonts w:ascii="Open Sans" w:hAnsi="Open Sans"/>
          <w:sz w:val="21"/>
          <w:lang w:val="nn-NO"/>
        </w:rPr>
        <w:t xml:space="preserve">, og på denne måten bidra til å nå de nasjonale </w:t>
      </w:r>
      <w:proofErr w:type="spellStart"/>
      <w:r w:rsidRPr="002534F4">
        <w:rPr>
          <w:rFonts w:ascii="Open Sans" w:hAnsi="Open Sans"/>
          <w:sz w:val="21"/>
          <w:lang w:val="nn-NO"/>
        </w:rPr>
        <w:t>målene</w:t>
      </w:r>
      <w:proofErr w:type="spellEnd"/>
      <w:r w:rsidRPr="002534F4">
        <w:rPr>
          <w:rFonts w:ascii="Open Sans" w:hAnsi="Open Sans"/>
          <w:sz w:val="21"/>
          <w:lang w:val="nn-NO"/>
        </w:rPr>
        <w:t xml:space="preserve"> for avtalen. På bakgrunn av dokumentert kunnskap skal det </w:t>
      </w:r>
      <w:proofErr w:type="spellStart"/>
      <w:r w:rsidRPr="002534F4">
        <w:rPr>
          <w:rFonts w:ascii="Open Sans" w:hAnsi="Open Sans"/>
          <w:sz w:val="21"/>
          <w:lang w:val="nn-NO"/>
        </w:rPr>
        <w:lastRenderedPageBreak/>
        <w:t>fastsettes</w:t>
      </w:r>
      <w:proofErr w:type="spellEnd"/>
      <w:r w:rsidRPr="002534F4">
        <w:rPr>
          <w:rFonts w:ascii="Open Sans" w:hAnsi="Open Sans"/>
          <w:sz w:val="21"/>
          <w:lang w:val="nn-NO"/>
        </w:rPr>
        <w:t xml:space="preserve"> egne mål og </w:t>
      </w:r>
      <w:proofErr w:type="spellStart"/>
      <w:r w:rsidRPr="002534F4">
        <w:rPr>
          <w:rFonts w:ascii="Open Sans" w:hAnsi="Open Sans"/>
          <w:sz w:val="21"/>
          <w:lang w:val="nn-NO"/>
        </w:rPr>
        <w:t>indikatorer</w:t>
      </w:r>
      <w:proofErr w:type="spellEnd"/>
      <w:r w:rsidRPr="002534F4">
        <w:rPr>
          <w:rFonts w:ascii="Open Sans" w:hAnsi="Open Sans"/>
          <w:sz w:val="21"/>
          <w:lang w:val="nn-NO"/>
        </w:rPr>
        <w:t xml:space="preserve"> for prioriterte </w:t>
      </w:r>
      <w:proofErr w:type="spellStart"/>
      <w:r w:rsidRPr="002534F4">
        <w:rPr>
          <w:rFonts w:ascii="Open Sans" w:hAnsi="Open Sans"/>
          <w:sz w:val="21"/>
          <w:lang w:val="nn-NO"/>
        </w:rPr>
        <w:t>bransjer</w:t>
      </w:r>
      <w:proofErr w:type="spellEnd"/>
      <w:r w:rsidRPr="002534F4">
        <w:rPr>
          <w:rFonts w:ascii="Open Sans" w:hAnsi="Open Sans"/>
          <w:sz w:val="21"/>
          <w:lang w:val="nn-NO"/>
        </w:rPr>
        <w:t xml:space="preserve"> og sektorer. </w:t>
      </w:r>
      <w:proofErr w:type="spellStart"/>
      <w:r w:rsidRPr="002534F4">
        <w:rPr>
          <w:rFonts w:ascii="Open Sans" w:hAnsi="Open Sans"/>
          <w:sz w:val="21"/>
          <w:lang w:val="nn-NO"/>
        </w:rPr>
        <w:t>Partene</w:t>
      </w:r>
      <w:proofErr w:type="spellEnd"/>
      <w:r w:rsidRPr="002534F4">
        <w:rPr>
          <w:rFonts w:ascii="Open Sans" w:hAnsi="Open Sans"/>
          <w:sz w:val="21"/>
          <w:lang w:val="nn-NO"/>
        </w:rPr>
        <w:t xml:space="preserve"> </w:t>
      </w:r>
      <w:proofErr w:type="spellStart"/>
      <w:r w:rsidRPr="002534F4">
        <w:rPr>
          <w:rFonts w:ascii="Open Sans" w:hAnsi="Open Sans"/>
          <w:sz w:val="21"/>
          <w:lang w:val="nn-NO"/>
        </w:rPr>
        <w:t>forplikter</w:t>
      </w:r>
      <w:proofErr w:type="spellEnd"/>
      <w:r w:rsidRPr="002534F4">
        <w:rPr>
          <w:rFonts w:ascii="Open Sans" w:hAnsi="Open Sans"/>
          <w:sz w:val="21"/>
          <w:lang w:val="nn-NO"/>
        </w:rPr>
        <w:t xml:space="preserve"> seg til </w:t>
      </w:r>
      <w:proofErr w:type="spellStart"/>
      <w:r w:rsidRPr="002534F4">
        <w:rPr>
          <w:rFonts w:ascii="Open Sans" w:hAnsi="Open Sans"/>
          <w:sz w:val="21"/>
          <w:lang w:val="nn-NO"/>
        </w:rPr>
        <w:t>sammen</w:t>
      </w:r>
      <w:proofErr w:type="spellEnd"/>
      <w:r w:rsidRPr="002534F4">
        <w:rPr>
          <w:rFonts w:ascii="Open Sans" w:hAnsi="Open Sans"/>
          <w:sz w:val="21"/>
          <w:lang w:val="nn-NO"/>
        </w:rPr>
        <w:t xml:space="preserve"> å komme frem til </w:t>
      </w:r>
      <w:proofErr w:type="spellStart"/>
      <w:r w:rsidRPr="002534F4">
        <w:rPr>
          <w:rFonts w:ascii="Open Sans" w:hAnsi="Open Sans"/>
          <w:sz w:val="21"/>
          <w:lang w:val="nn-NO"/>
        </w:rPr>
        <w:t>hvilke</w:t>
      </w:r>
      <w:proofErr w:type="spellEnd"/>
      <w:r w:rsidRPr="002534F4">
        <w:rPr>
          <w:rFonts w:ascii="Open Sans" w:hAnsi="Open Sans"/>
          <w:sz w:val="21"/>
          <w:lang w:val="nn-NO"/>
        </w:rPr>
        <w:t xml:space="preserve"> </w:t>
      </w:r>
      <w:proofErr w:type="spellStart"/>
      <w:r w:rsidRPr="002534F4">
        <w:rPr>
          <w:rFonts w:ascii="Open Sans" w:hAnsi="Open Sans"/>
          <w:sz w:val="21"/>
          <w:lang w:val="nn-NO"/>
        </w:rPr>
        <w:t>bransjer</w:t>
      </w:r>
      <w:proofErr w:type="spellEnd"/>
      <w:r w:rsidRPr="002534F4">
        <w:rPr>
          <w:rFonts w:ascii="Open Sans" w:hAnsi="Open Sans"/>
          <w:sz w:val="21"/>
          <w:lang w:val="nn-NO"/>
        </w:rPr>
        <w:t xml:space="preserve"> og sektorer som skal </w:t>
      </w:r>
      <w:proofErr w:type="spellStart"/>
      <w:r w:rsidRPr="002534F4">
        <w:rPr>
          <w:rFonts w:ascii="Open Sans" w:hAnsi="Open Sans"/>
          <w:sz w:val="21"/>
          <w:lang w:val="nn-NO"/>
        </w:rPr>
        <w:t>prioriteres</w:t>
      </w:r>
      <w:proofErr w:type="spellEnd"/>
      <w:r w:rsidRPr="002534F4">
        <w:rPr>
          <w:rFonts w:ascii="Open Sans" w:hAnsi="Open Sans"/>
          <w:sz w:val="21"/>
          <w:lang w:val="nn-NO"/>
        </w:rPr>
        <w:t xml:space="preserve"> i avtaleperioden, og </w:t>
      </w:r>
      <w:proofErr w:type="spellStart"/>
      <w:r w:rsidRPr="002534F4">
        <w:rPr>
          <w:rFonts w:ascii="Open Sans" w:hAnsi="Open Sans"/>
          <w:sz w:val="21"/>
          <w:lang w:val="nn-NO"/>
        </w:rPr>
        <w:t>hvordan</w:t>
      </w:r>
      <w:proofErr w:type="spellEnd"/>
      <w:r w:rsidRPr="002534F4">
        <w:rPr>
          <w:rFonts w:ascii="Open Sans" w:hAnsi="Open Sans"/>
          <w:sz w:val="21"/>
          <w:lang w:val="nn-NO"/>
        </w:rPr>
        <w:t xml:space="preserve"> </w:t>
      </w:r>
      <w:proofErr w:type="spellStart"/>
      <w:r w:rsidRPr="002534F4">
        <w:rPr>
          <w:rFonts w:ascii="Open Sans" w:hAnsi="Open Sans"/>
          <w:sz w:val="21"/>
          <w:lang w:val="nn-NO"/>
        </w:rPr>
        <w:t>partene</w:t>
      </w:r>
      <w:proofErr w:type="spellEnd"/>
      <w:r w:rsidRPr="002534F4">
        <w:rPr>
          <w:rFonts w:ascii="Open Sans" w:hAnsi="Open Sans"/>
          <w:sz w:val="21"/>
          <w:lang w:val="nn-NO"/>
        </w:rPr>
        <w:t xml:space="preserve"> skal </w:t>
      </w:r>
      <w:proofErr w:type="spellStart"/>
      <w:r w:rsidRPr="002534F4">
        <w:rPr>
          <w:rFonts w:ascii="Open Sans" w:hAnsi="Open Sans"/>
          <w:sz w:val="21"/>
          <w:lang w:val="nn-NO"/>
        </w:rPr>
        <w:t>følge</w:t>
      </w:r>
      <w:proofErr w:type="spellEnd"/>
      <w:r w:rsidRPr="002534F4">
        <w:rPr>
          <w:rFonts w:ascii="Open Sans" w:hAnsi="Open Sans"/>
          <w:sz w:val="21"/>
          <w:lang w:val="nn-NO"/>
        </w:rPr>
        <w:t xml:space="preserve"> opp dette i sitt </w:t>
      </w:r>
      <w:proofErr w:type="spellStart"/>
      <w:r w:rsidRPr="002534F4">
        <w:rPr>
          <w:rFonts w:ascii="Open Sans" w:hAnsi="Open Sans"/>
          <w:sz w:val="21"/>
          <w:lang w:val="nn-NO"/>
        </w:rPr>
        <w:t>eget</w:t>
      </w:r>
      <w:proofErr w:type="spellEnd"/>
      <w:r w:rsidRPr="002534F4">
        <w:rPr>
          <w:rFonts w:ascii="Open Sans" w:hAnsi="Open Sans"/>
          <w:sz w:val="21"/>
          <w:lang w:val="nn-NO"/>
        </w:rPr>
        <w:t xml:space="preserve"> arbeid.</w:t>
      </w:r>
    </w:p>
    <w:p w:rsidR="00F12BD4" w:rsidRPr="002534F4" w:rsidRDefault="00F12BD4" w:rsidP="002534F4">
      <w:pPr>
        <w:rPr>
          <w:rFonts w:ascii="Open Sans" w:hAnsi="Open Sans"/>
          <w:sz w:val="21"/>
          <w:lang w:val="nn-NO"/>
        </w:rPr>
      </w:pPr>
    </w:p>
    <w:p w:rsidR="002534F4" w:rsidRPr="0095275A" w:rsidRDefault="002534F4" w:rsidP="00F12BD4">
      <w:pPr>
        <w:pStyle w:val="Overskrift1"/>
        <w:rPr>
          <w:rFonts w:ascii="Open Sans" w:hAnsi="Open Sans" w:cs="Open Sans"/>
          <w:lang w:val="nn-NO"/>
        </w:rPr>
      </w:pPr>
      <w:r w:rsidRPr="0095275A">
        <w:rPr>
          <w:rFonts w:ascii="Open Sans" w:hAnsi="Open Sans" w:cs="Open Sans"/>
          <w:lang w:val="nn-NO"/>
        </w:rPr>
        <w:t>Organisering av IA-avtalen</w:t>
      </w:r>
    </w:p>
    <w:p w:rsidR="002534F4" w:rsidRPr="00035B23" w:rsidRDefault="002534F4" w:rsidP="002534F4">
      <w:pPr>
        <w:rPr>
          <w:rFonts w:ascii="Open Sans" w:hAnsi="Open Sans"/>
          <w:sz w:val="21"/>
        </w:rPr>
      </w:pPr>
      <w:r w:rsidRPr="002534F4">
        <w:rPr>
          <w:rFonts w:ascii="Open Sans" w:hAnsi="Open Sans"/>
          <w:sz w:val="21"/>
          <w:lang w:val="nn-NO"/>
        </w:rPr>
        <w:t>IA-avtalen skal omfatte hele det norske arbeidslivet</w:t>
      </w:r>
      <w:r w:rsidRPr="00035B23">
        <w:rPr>
          <w:rFonts w:ascii="Open Sans" w:hAnsi="Open Sans"/>
          <w:sz w:val="21"/>
        </w:rPr>
        <w:t>.</w:t>
      </w:r>
      <w:r w:rsidR="00035B23" w:rsidRPr="00035B23">
        <w:rPr>
          <w:rFonts w:ascii="Open Sans" w:hAnsi="Open Sans"/>
          <w:sz w:val="21"/>
        </w:rPr>
        <w:t xml:space="preserve"> Arbeidsplassen er hovedarenaen for IA-arbeidet. Et godt partssamarbeid er en </w:t>
      </w:r>
      <w:r w:rsidR="00035B23">
        <w:rPr>
          <w:rFonts w:ascii="Open Sans" w:hAnsi="Open Sans"/>
          <w:sz w:val="21"/>
        </w:rPr>
        <w:t>forutsetning</w:t>
      </w:r>
      <w:r w:rsidR="00035B23" w:rsidRPr="00035B23">
        <w:rPr>
          <w:rFonts w:ascii="Open Sans" w:hAnsi="Open Sans"/>
          <w:sz w:val="21"/>
        </w:rPr>
        <w:t xml:space="preserve"> for å lykkes</w:t>
      </w:r>
      <w:r w:rsidR="00F12BD4">
        <w:rPr>
          <w:rFonts w:ascii="Open Sans" w:hAnsi="Open Sans"/>
          <w:sz w:val="21"/>
        </w:rPr>
        <w:t xml:space="preserve"> med IA-arbeidet</w:t>
      </w:r>
      <w:r w:rsidR="00035B23">
        <w:rPr>
          <w:rFonts w:ascii="Open Sans" w:hAnsi="Open Sans"/>
          <w:sz w:val="21"/>
        </w:rPr>
        <w:t>. Både ledelse, tillitsvalgte og verneombud har viktige roller i dette arbeidet.</w:t>
      </w:r>
    </w:p>
    <w:p w:rsidR="002534F4" w:rsidRPr="002534F4" w:rsidRDefault="002534F4" w:rsidP="002534F4">
      <w:pPr>
        <w:rPr>
          <w:rFonts w:ascii="Open Sans" w:hAnsi="Open Sans"/>
          <w:sz w:val="21"/>
          <w:lang w:val="nn-NO"/>
        </w:rPr>
      </w:pPr>
    </w:p>
    <w:p w:rsidR="002534F4" w:rsidRPr="002534F4" w:rsidRDefault="002534F4" w:rsidP="002534F4">
      <w:pPr>
        <w:rPr>
          <w:rFonts w:ascii="Open Sans" w:hAnsi="Open Sans"/>
          <w:sz w:val="21"/>
        </w:rPr>
      </w:pPr>
      <w:r w:rsidRPr="002534F4">
        <w:rPr>
          <w:rFonts w:ascii="Open Sans" w:hAnsi="Open Sans"/>
          <w:sz w:val="21"/>
          <w:lang w:val="nn-NO"/>
        </w:rPr>
        <w:t xml:space="preserve">Det </w:t>
      </w:r>
      <w:proofErr w:type="spellStart"/>
      <w:r w:rsidRPr="002534F4">
        <w:rPr>
          <w:rFonts w:ascii="Open Sans" w:hAnsi="Open Sans"/>
          <w:sz w:val="21"/>
          <w:lang w:val="nn-NO"/>
        </w:rPr>
        <w:t>partssammensatte</w:t>
      </w:r>
      <w:proofErr w:type="spellEnd"/>
      <w:r w:rsidRPr="002534F4">
        <w:rPr>
          <w:rFonts w:ascii="Open Sans" w:hAnsi="Open Sans"/>
          <w:sz w:val="21"/>
          <w:lang w:val="nn-NO"/>
        </w:rPr>
        <w:t xml:space="preserve"> </w:t>
      </w:r>
      <w:r w:rsidRPr="00F12BD4">
        <w:rPr>
          <w:rFonts w:ascii="Open Sans" w:hAnsi="Open Sans"/>
          <w:i/>
          <w:sz w:val="21"/>
          <w:lang w:val="nn-NO"/>
        </w:rPr>
        <w:t>Arbeidslivs- og pensjonspolitisk råd</w:t>
      </w:r>
      <w:r w:rsidRPr="002534F4">
        <w:rPr>
          <w:rFonts w:ascii="Open Sans" w:hAnsi="Open Sans"/>
          <w:sz w:val="21"/>
          <w:lang w:val="nn-NO"/>
        </w:rPr>
        <w:t xml:space="preserve"> under </w:t>
      </w:r>
      <w:proofErr w:type="spellStart"/>
      <w:r w:rsidRPr="002534F4">
        <w:rPr>
          <w:rFonts w:ascii="Open Sans" w:hAnsi="Open Sans"/>
          <w:sz w:val="21"/>
          <w:lang w:val="nn-NO"/>
        </w:rPr>
        <w:t>ledelse</w:t>
      </w:r>
      <w:proofErr w:type="spellEnd"/>
      <w:r w:rsidRPr="002534F4">
        <w:rPr>
          <w:rFonts w:ascii="Open Sans" w:hAnsi="Open Sans"/>
          <w:sz w:val="21"/>
          <w:lang w:val="nn-NO"/>
        </w:rPr>
        <w:t xml:space="preserve"> av arbeids- og sosialministeren har ansvaret for </w:t>
      </w:r>
      <w:proofErr w:type="spellStart"/>
      <w:r w:rsidRPr="002534F4">
        <w:rPr>
          <w:rFonts w:ascii="Open Sans" w:hAnsi="Open Sans"/>
          <w:sz w:val="21"/>
          <w:lang w:val="nn-NO"/>
        </w:rPr>
        <w:t>oppfølgingen</w:t>
      </w:r>
      <w:proofErr w:type="spellEnd"/>
      <w:r w:rsidRPr="002534F4">
        <w:rPr>
          <w:rFonts w:ascii="Open Sans" w:hAnsi="Open Sans"/>
          <w:sz w:val="21"/>
          <w:lang w:val="nn-NO"/>
        </w:rPr>
        <w:t xml:space="preserve"> av IA-avtalen på nasjonalt nivå. </w:t>
      </w:r>
      <w:r w:rsidRPr="002534F4">
        <w:rPr>
          <w:rFonts w:ascii="Open Sans" w:hAnsi="Open Sans"/>
          <w:sz w:val="21"/>
        </w:rPr>
        <w:t>Rådet skal årlig diskutere erfaringer og resultater samt strategi og overordnede planer for IA-arbeidet.</w:t>
      </w:r>
    </w:p>
    <w:p w:rsidR="002534F4" w:rsidRPr="002534F4" w:rsidRDefault="002534F4" w:rsidP="002534F4">
      <w:pPr>
        <w:rPr>
          <w:rFonts w:ascii="Open Sans" w:hAnsi="Open Sans"/>
          <w:sz w:val="21"/>
        </w:rPr>
      </w:pPr>
    </w:p>
    <w:p w:rsidR="002534F4" w:rsidRPr="002534F4" w:rsidRDefault="521E4423" w:rsidP="521E4423">
      <w:pPr>
        <w:rPr>
          <w:rFonts w:ascii="Open Sans" w:hAnsi="Open Sans"/>
          <w:sz w:val="21"/>
          <w:szCs w:val="21"/>
        </w:rPr>
      </w:pPr>
      <w:r w:rsidRPr="521E4423">
        <w:rPr>
          <w:rFonts w:ascii="Open Sans" w:hAnsi="Open Sans"/>
          <w:sz w:val="21"/>
          <w:szCs w:val="21"/>
        </w:rPr>
        <w:t xml:space="preserve">Oppfølgingen av prioriterte bransjer og sektorer vil være en sentral del av det organiserte samarbeidet mellom partene og myndighetene. Partene og myndighetene skal sammen vurdere </w:t>
      </w:r>
      <w:proofErr w:type="gramStart"/>
      <w:r w:rsidRPr="521E4423">
        <w:rPr>
          <w:rFonts w:ascii="Open Sans" w:hAnsi="Open Sans"/>
          <w:sz w:val="21"/>
          <w:szCs w:val="21"/>
        </w:rPr>
        <w:t>og</w:t>
      </w:r>
      <w:proofErr w:type="gramEnd"/>
      <w:r w:rsidRPr="521E4423">
        <w:rPr>
          <w:rFonts w:ascii="Open Sans" w:hAnsi="Open Sans"/>
          <w:sz w:val="21"/>
          <w:szCs w:val="21"/>
        </w:rPr>
        <w:t xml:space="preserve"> komme frem til hensiktsmessig form på samarbeidet i de prioriterte bransjer og sektorer. Arbeidslivets parter kan selv etablere regionale samarbeidsarenaer der de mener dette er hensiktsmessig.</w:t>
      </w:r>
    </w:p>
    <w:p w:rsidR="002534F4" w:rsidRPr="002534F4" w:rsidRDefault="002534F4" w:rsidP="002534F4">
      <w:pPr>
        <w:rPr>
          <w:rFonts w:ascii="Open Sans" w:hAnsi="Open Sans"/>
          <w:sz w:val="21"/>
        </w:rPr>
      </w:pPr>
    </w:p>
    <w:p w:rsidR="002534F4" w:rsidRPr="002534F4" w:rsidRDefault="521E4423" w:rsidP="521E4423">
      <w:pPr>
        <w:rPr>
          <w:rFonts w:ascii="Open Sans" w:hAnsi="Open Sans"/>
          <w:sz w:val="21"/>
          <w:szCs w:val="21"/>
        </w:rPr>
      </w:pPr>
      <w:r w:rsidRPr="521E4423">
        <w:rPr>
          <w:rFonts w:ascii="Open Sans" w:hAnsi="Open Sans"/>
          <w:sz w:val="21"/>
          <w:szCs w:val="21"/>
        </w:rPr>
        <w:t xml:space="preserve">Den operative oppfølgingen av IA-avtalen på nasjonalt nivå gjøres av en </w:t>
      </w:r>
      <w:r w:rsidRPr="521E4423">
        <w:rPr>
          <w:rFonts w:ascii="Open Sans" w:hAnsi="Open Sans"/>
          <w:i/>
          <w:iCs/>
          <w:sz w:val="21"/>
          <w:szCs w:val="21"/>
        </w:rPr>
        <w:t>koordineringsgruppe</w:t>
      </w:r>
      <w:r w:rsidRPr="521E4423">
        <w:rPr>
          <w:rFonts w:ascii="Open Sans" w:hAnsi="Open Sans"/>
          <w:sz w:val="21"/>
          <w:szCs w:val="21"/>
        </w:rPr>
        <w:t xml:space="preserve"> under Arbeidslivs- og </w:t>
      </w:r>
      <w:proofErr w:type="spellStart"/>
      <w:r w:rsidRPr="521E4423">
        <w:rPr>
          <w:rFonts w:ascii="Open Sans" w:hAnsi="Open Sans"/>
          <w:sz w:val="21"/>
          <w:szCs w:val="21"/>
        </w:rPr>
        <w:t>pensjonspolitisk</w:t>
      </w:r>
      <w:proofErr w:type="spellEnd"/>
      <w:r w:rsidRPr="521E4423">
        <w:rPr>
          <w:rFonts w:ascii="Open Sans" w:hAnsi="Open Sans"/>
          <w:sz w:val="21"/>
          <w:szCs w:val="21"/>
        </w:rPr>
        <w:t xml:space="preserve"> råd. Gruppen består av hovedorganisasjonene og myndighetene, herunder Arbeids- og velferdsetaten, STAMI og Arbeidstilsynet. Gruppen skal følge opp sentrale initiativ og satsinger i IA-avtalen og forberede drøftingene i Arbeidslivs- og </w:t>
      </w:r>
      <w:proofErr w:type="spellStart"/>
      <w:r w:rsidRPr="521E4423">
        <w:rPr>
          <w:rFonts w:ascii="Open Sans" w:hAnsi="Open Sans"/>
          <w:sz w:val="21"/>
          <w:szCs w:val="21"/>
        </w:rPr>
        <w:t>pensjonspolitisk</w:t>
      </w:r>
      <w:proofErr w:type="spellEnd"/>
      <w:r w:rsidRPr="521E4423">
        <w:rPr>
          <w:rFonts w:ascii="Open Sans" w:hAnsi="Open Sans"/>
          <w:sz w:val="21"/>
          <w:szCs w:val="21"/>
        </w:rPr>
        <w:t xml:space="preserve"> råd. </w:t>
      </w:r>
    </w:p>
    <w:p w:rsidR="002534F4" w:rsidRPr="002534F4" w:rsidRDefault="002534F4" w:rsidP="002534F4">
      <w:pPr>
        <w:rPr>
          <w:rFonts w:ascii="Open Sans" w:hAnsi="Open Sans"/>
          <w:sz w:val="21"/>
        </w:rPr>
      </w:pPr>
    </w:p>
    <w:p w:rsidR="002534F4" w:rsidRDefault="002534F4" w:rsidP="002534F4">
      <w:pPr>
        <w:rPr>
          <w:rFonts w:ascii="Open Sans" w:hAnsi="Open Sans"/>
          <w:sz w:val="21"/>
        </w:rPr>
      </w:pPr>
      <w:r w:rsidRPr="00E07761">
        <w:rPr>
          <w:rFonts w:ascii="Open Sans" w:hAnsi="Open Sans"/>
          <w:i/>
          <w:sz w:val="21"/>
        </w:rPr>
        <w:t>Faggruppen</w:t>
      </w:r>
      <w:r w:rsidRPr="002534F4">
        <w:rPr>
          <w:rFonts w:ascii="Open Sans" w:hAnsi="Open Sans"/>
          <w:sz w:val="21"/>
        </w:rPr>
        <w:t xml:space="preserve"> er en arbeidsgruppe bestående av partene, myndighetene og relevante fagmiljøer. Faggruppen skal drøfte status og utvikling i IA-målene og sikre god og relevant kunnskap om forhold av betydning for IA-avtalens mål og innsatsområder. Faggruppens vurderinger gir et viktig faglig grunnlag for arbeidet i koordineringsgruppen og i </w:t>
      </w:r>
      <w:proofErr w:type="gramStart"/>
      <w:r w:rsidRPr="002534F4">
        <w:rPr>
          <w:rFonts w:ascii="Open Sans" w:hAnsi="Open Sans"/>
          <w:sz w:val="21"/>
        </w:rPr>
        <w:t>de</w:t>
      </w:r>
      <w:proofErr w:type="gramEnd"/>
      <w:r w:rsidRPr="002534F4">
        <w:rPr>
          <w:rFonts w:ascii="Open Sans" w:hAnsi="Open Sans"/>
          <w:sz w:val="21"/>
        </w:rPr>
        <w:t xml:space="preserve"> prioriterte bransjesatsingene. Gruppen skal også legge frem en årlig rapport for Arbeidslivs- og </w:t>
      </w:r>
      <w:proofErr w:type="spellStart"/>
      <w:r w:rsidRPr="002534F4">
        <w:rPr>
          <w:rFonts w:ascii="Open Sans" w:hAnsi="Open Sans"/>
          <w:sz w:val="21"/>
        </w:rPr>
        <w:t>pensjonspolitisk</w:t>
      </w:r>
      <w:proofErr w:type="spellEnd"/>
      <w:r w:rsidRPr="002534F4">
        <w:rPr>
          <w:rFonts w:ascii="Open Sans" w:hAnsi="Open Sans"/>
          <w:sz w:val="21"/>
        </w:rPr>
        <w:t xml:space="preserve"> råd. Faggruppens mandat, herunder sammensetning, oppgaver og organisering skal gjennomgås og justeres innledningsvis i avtaleperioden, slik at det støtter opp under innretningen og prioriteringene i denne IA-avtalen.</w:t>
      </w:r>
    </w:p>
    <w:p w:rsidR="00E07761" w:rsidRPr="002534F4" w:rsidRDefault="00E07761" w:rsidP="002534F4">
      <w:pPr>
        <w:rPr>
          <w:rFonts w:ascii="Open Sans" w:hAnsi="Open Sans"/>
          <w:b/>
          <w:sz w:val="21"/>
        </w:rPr>
      </w:pPr>
    </w:p>
    <w:p w:rsidR="002534F4" w:rsidRPr="0095275A" w:rsidRDefault="002534F4" w:rsidP="00E07761">
      <w:pPr>
        <w:pStyle w:val="Overskrift1"/>
        <w:rPr>
          <w:rFonts w:ascii="Open Sans" w:hAnsi="Open Sans" w:cs="Open Sans"/>
        </w:rPr>
      </w:pPr>
      <w:r w:rsidRPr="0095275A">
        <w:rPr>
          <w:rFonts w:ascii="Open Sans" w:hAnsi="Open Sans" w:cs="Open Sans"/>
        </w:rPr>
        <w:t>Virkemidler i IA-avtalen</w:t>
      </w:r>
    </w:p>
    <w:p w:rsidR="002534F4" w:rsidRDefault="002534F4" w:rsidP="002534F4">
      <w:pPr>
        <w:rPr>
          <w:rFonts w:ascii="Open Sans" w:hAnsi="Open Sans"/>
          <w:sz w:val="21"/>
        </w:rPr>
      </w:pPr>
      <w:r w:rsidRPr="002534F4">
        <w:rPr>
          <w:rFonts w:ascii="Open Sans" w:hAnsi="Open Sans"/>
          <w:sz w:val="21"/>
        </w:rPr>
        <w:t>Virkemidler og tiltak i IA-avtalen skal understøtte målene og innsatsområdene i avtalen. Nye tiltak skal være kunnskapsbaserte og det skal settes i gang følgeforskning og effektevalueringer av prioriter</w:t>
      </w:r>
      <w:r w:rsidR="00E07761">
        <w:rPr>
          <w:rFonts w:ascii="Open Sans" w:hAnsi="Open Sans"/>
          <w:sz w:val="21"/>
        </w:rPr>
        <w:t>t</w:t>
      </w:r>
      <w:r w:rsidRPr="002534F4">
        <w:rPr>
          <w:rFonts w:ascii="Open Sans" w:hAnsi="Open Sans"/>
          <w:sz w:val="21"/>
        </w:rPr>
        <w:t xml:space="preserve">e satsinger og virkemidler. I tråd med innretningen på avtalen, skal en rekke virkemidler og tiltak være generelle og treffe hele arbeidslivet. Partene og myndighetene er også enige om å prioritere </w:t>
      </w:r>
      <w:r w:rsidRPr="002534F4">
        <w:rPr>
          <w:rFonts w:ascii="Open Sans" w:hAnsi="Open Sans"/>
          <w:sz w:val="21"/>
        </w:rPr>
        <w:lastRenderedPageBreak/>
        <w:t xml:space="preserve">virkemidler til en målrettet innsats mot bransjer og sektorer som har potensial for </w:t>
      </w:r>
      <w:r w:rsidR="000D6CF2">
        <w:rPr>
          <w:rFonts w:ascii="Open Sans" w:hAnsi="Open Sans"/>
          <w:sz w:val="21"/>
        </w:rPr>
        <w:t>å redusere</w:t>
      </w:r>
      <w:r w:rsidRPr="002534F4">
        <w:rPr>
          <w:rFonts w:ascii="Open Sans" w:hAnsi="Open Sans"/>
          <w:sz w:val="21"/>
        </w:rPr>
        <w:t xml:space="preserve"> sykefravær og frafall.</w:t>
      </w:r>
    </w:p>
    <w:p w:rsidR="005651E0" w:rsidRDefault="005651E0" w:rsidP="002534F4">
      <w:pPr>
        <w:rPr>
          <w:rFonts w:ascii="Open Sans" w:hAnsi="Open Sans"/>
          <w:sz w:val="21"/>
        </w:rPr>
      </w:pPr>
    </w:p>
    <w:p w:rsidR="005651E0" w:rsidRDefault="005651E0" w:rsidP="002534F4">
      <w:pPr>
        <w:rPr>
          <w:rFonts w:ascii="Open Sans" w:hAnsi="Open Sans"/>
          <w:sz w:val="21"/>
        </w:rPr>
      </w:pPr>
      <w:r>
        <w:rPr>
          <w:rFonts w:ascii="Open Sans" w:hAnsi="Open Sans"/>
          <w:sz w:val="21"/>
        </w:rPr>
        <w:t xml:space="preserve">Tiltakene i avtalen vil kunne ha ulik prioritering gjennom avtaleperioden. </w:t>
      </w:r>
    </w:p>
    <w:p w:rsidR="002534F4" w:rsidRPr="0095275A" w:rsidRDefault="002534F4" w:rsidP="00E07761">
      <w:pPr>
        <w:pStyle w:val="Overskrift2"/>
        <w:rPr>
          <w:rFonts w:ascii="Open Sans" w:hAnsi="Open Sans" w:cs="Open Sans"/>
        </w:rPr>
      </w:pPr>
      <w:r w:rsidRPr="0095275A">
        <w:rPr>
          <w:rFonts w:ascii="Open Sans" w:hAnsi="Open Sans" w:cs="Open Sans"/>
        </w:rPr>
        <w:t>Innsatsområder</w:t>
      </w:r>
    </w:p>
    <w:p w:rsidR="002534F4" w:rsidRPr="002534F4" w:rsidRDefault="002534F4" w:rsidP="002534F4">
      <w:pPr>
        <w:rPr>
          <w:rFonts w:ascii="Open Sans" w:hAnsi="Open Sans"/>
          <w:sz w:val="21"/>
        </w:rPr>
      </w:pPr>
      <w:r w:rsidRPr="002534F4">
        <w:rPr>
          <w:rFonts w:ascii="Open Sans" w:hAnsi="Open Sans"/>
          <w:sz w:val="21"/>
        </w:rPr>
        <w:t xml:space="preserve">For å støtte opp under målene for IA-avtalen, er partene og myndighetene enige om å løfte frem satsinger for forebygging av sykefravær og frafall og å </w:t>
      </w:r>
      <w:proofErr w:type="spellStart"/>
      <w:r w:rsidRPr="002534F4">
        <w:rPr>
          <w:rFonts w:ascii="Open Sans" w:hAnsi="Open Sans"/>
          <w:sz w:val="21"/>
        </w:rPr>
        <w:t>målrette</w:t>
      </w:r>
      <w:proofErr w:type="spellEnd"/>
      <w:r w:rsidRPr="002534F4">
        <w:rPr>
          <w:rFonts w:ascii="Open Sans" w:hAnsi="Open Sans"/>
          <w:sz w:val="21"/>
        </w:rPr>
        <w:t xml:space="preserve"> innsatsen mot lange og</w:t>
      </w:r>
      <w:r w:rsidR="00785C65">
        <w:rPr>
          <w:rFonts w:ascii="Open Sans" w:hAnsi="Open Sans"/>
          <w:sz w:val="21"/>
        </w:rPr>
        <w:t>/eller</w:t>
      </w:r>
      <w:r w:rsidR="007B20EE">
        <w:rPr>
          <w:rFonts w:ascii="Open Sans" w:hAnsi="Open Sans"/>
          <w:sz w:val="21"/>
        </w:rPr>
        <w:t xml:space="preserve"> hyppig gjentagende</w:t>
      </w:r>
      <w:r w:rsidRPr="002534F4">
        <w:rPr>
          <w:rFonts w:ascii="Open Sans" w:hAnsi="Open Sans"/>
          <w:sz w:val="21"/>
        </w:rPr>
        <w:t xml:space="preserve"> sykefravær. </w:t>
      </w:r>
    </w:p>
    <w:p w:rsidR="002534F4" w:rsidRPr="0095275A" w:rsidRDefault="002534F4" w:rsidP="00E07761">
      <w:pPr>
        <w:pStyle w:val="Overskrift3"/>
        <w:rPr>
          <w:rFonts w:ascii="Open Sans" w:hAnsi="Open Sans" w:cs="Open Sans"/>
        </w:rPr>
      </w:pPr>
      <w:r w:rsidRPr="0095275A">
        <w:rPr>
          <w:rFonts w:ascii="Open Sans" w:hAnsi="Open Sans" w:cs="Open Sans"/>
        </w:rPr>
        <w:t>Forebyggende arbeidsmiljøarbeid</w:t>
      </w:r>
    </w:p>
    <w:p w:rsidR="002534F4" w:rsidRPr="002534F4" w:rsidRDefault="002534F4" w:rsidP="002534F4">
      <w:pPr>
        <w:rPr>
          <w:rFonts w:ascii="Open Sans" w:hAnsi="Open Sans"/>
          <w:sz w:val="21"/>
          <w:u w:val="single"/>
        </w:rPr>
      </w:pPr>
      <w:r w:rsidRPr="002534F4">
        <w:rPr>
          <w:rFonts w:ascii="Open Sans" w:hAnsi="Open Sans"/>
          <w:sz w:val="21"/>
        </w:rPr>
        <w:t xml:space="preserve">For å ha effekt må forebyggende arbeidsmiljøarbeid være kunnskapsbasert og rettet mot reelle behov på den enkelte arbeidsplass. IA-avtalen skal styrke partssamarbeidet om forebyggende arbeidsmiljøarbeid lokalt og bidra til at virksomhetene får tilgang til god kunnskapsbasert støtte i arbeidet. </w:t>
      </w:r>
    </w:p>
    <w:p w:rsidR="002534F4" w:rsidRPr="0095275A" w:rsidRDefault="002534F4" w:rsidP="00E07761">
      <w:pPr>
        <w:pStyle w:val="Overskrift3"/>
        <w:rPr>
          <w:rFonts w:ascii="Open Sans" w:hAnsi="Open Sans" w:cs="Open Sans"/>
        </w:rPr>
      </w:pPr>
      <w:r w:rsidRPr="0095275A">
        <w:rPr>
          <w:rFonts w:ascii="Open Sans" w:hAnsi="Open Sans" w:cs="Open Sans"/>
        </w:rPr>
        <w:t>Innsats mot lange og</w:t>
      </w:r>
      <w:r w:rsidR="007B20EE" w:rsidRPr="0095275A">
        <w:rPr>
          <w:rFonts w:ascii="Open Sans" w:hAnsi="Open Sans" w:cs="Open Sans"/>
        </w:rPr>
        <w:t>/eller</w:t>
      </w:r>
      <w:r w:rsidRPr="0095275A">
        <w:rPr>
          <w:rFonts w:ascii="Open Sans" w:hAnsi="Open Sans" w:cs="Open Sans"/>
        </w:rPr>
        <w:t xml:space="preserve"> </w:t>
      </w:r>
      <w:r w:rsidR="007B20EE" w:rsidRPr="0095275A">
        <w:rPr>
          <w:rFonts w:ascii="Open Sans" w:hAnsi="Open Sans" w:cs="Open Sans"/>
        </w:rPr>
        <w:t xml:space="preserve">hyppig </w:t>
      </w:r>
      <w:r w:rsidRPr="0095275A">
        <w:rPr>
          <w:rFonts w:ascii="Open Sans" w:hAnsi="Open Sans" w:cs="Open Sans"/>
        </w:rPr>
        <w:t>gjentagende sykefravær</w:t>
      </w:r>
    </w:p>
    <w:p w:rsidR="002534F4" w:rsidRPr="002534F4" w:rsidRDefault="521E4423" w:rsidP="521E4423">
      <w:pPr>
        <w:rPr>
          <w:rFonts w:ascii="Open Sans" w:hAnsi="Open Sans"/>
          <w:sz w:val="21"/>
          <w:szCs w:val="21"/>
        </w:rPr>
      </w:pPr>
      <w:r w:rsidRPr="521E4423">
        <w:rPr>
          <w:rFonts w:ascii="Open Sans" w:hAnsi="Open Sans"/>
          <w:sz w:val="21"/>
          <w:szCs w:val="21"/>
        </w:rPr>
        <w:t xml:space="preserve">Langtidssykefraværet utgjør den største delen av sykefraværet i Norge, og øker også risikoen for varig frafall fra arbeidslivet. Partene vil i IA-perioden rette særlig innsats mot de lange og/eller hyppig gjentagende sykefraværene. Innsatsen skal være kunnskapsbasert. </w:t>
      </w:r>
    </w:p>
    <w:p w:rsidR="002534F4" w:rsidRPr="0095275A" w:rsidRDefault="002534F4" w:rsidP="00776AF9">
      <w:pPr>
        <w:pStyle w:val="Overskrift2"/>
        <w:rPr>
          <w:rFonts w:ascii="Open Sans" w:hAnsi="Open Sans" w:cs="Open Sans"/>
        </w:rPr>
      </w:pPr>
      <w:r w:rsidRPr="0095275A">
        <w:rPr>
          <w:rFonts w:ascii="Open Sans" w:hAnsi="Open Sans" w:cs="Open Sans"/>
        </w:rPr>
        <w:t>Virkemidler for hele arbeidslivet</w:t>
      </w:r>
    </w:p>
    <w:p w:rsidR="002534F4" w:rsidRPr="0095275A" w:rsidRDefault="002534F4" w:rsidP="00776AF9">
      <w:pPr>
        <w:pStyle w:val="Overskrift3"/>
        <w:rPr>
          <w:rFonts w:ascii="Open Sans" w:hAnsi="Open Sans" w:cs="Open Sans"/>
        </w:rPr>
      </w:pPr>
      <w:r w:rsidRPr="0095275A">
        <w:rPr>
          <w:rFonts w:ascii="Open Sans" w:hAnsi="Open Sans" w:cs="Open Sans"/>
        </w:rPr>
        <w:t>Ny arbeidsmiljøsatsing</w:t>
      </w:r>
    </w:p>
    <w:p w:rsidR="00776AF9" w:rsidRDefault="521E4423" w:rsidP="521E4423">
      <w:pPr>
        <w:rPr>
          <w:rFonts w:ascii="Open Sans" w:hAnsi="Open Sans"/>
          <w:sz w:val="21"/>
          <w:szCs w:val="21"/>
        </w:rPr>
      </w:pPr>
      <w:r w:rsidRPr="521E4423">
        <w:rPr>
          <w:rFonts w:ascii="Open Sans" w:hAnsi="Open Sans"/>
          <w:sz w:val="21"/>
          <w:szCs w:val="21"/>
        </w:rPr>
        <w:t xml:space="preserve">For å gjøre en offensiv innsats for bedre forebyggende arbeidsmiljøarbeid, etableres det en ny arbeidsmiljøsatsing som skal bidra til kunnskap, kompetanse og verktøy for virksomhetene. </w:t>
      </w:r>
      <w:r w:rsidR="002534F4">
        <w:br/>
      </w:r>
    </w:p>
    <w:p w:rsidR="00152630" w:rsidRDefault="002534F4" w:rsidP="002534F4">
      <w:pPr>
        <w:rPr>
          <w:rFonts w:ascii="Open Sans" w:hAnsi="Open Sans"/>
          <w:sz w:val="21"/>
        </w:rPr>
      </w:pPr>
      <w:r w:rsidRPr="002534F4">
        <w:rPr>
          <w:rFonts w:ascii="Open Sans" w:hAnsi="Open Sans"/>
          <w:sz w:val="21"/>
        </w:rPr>
        <w:t xml:space="preserve">Arbeidsmiljøsatsingen skal støtte opp under </w:t>
      </w:r>
      <w:r w:rsidR="00A67DB5">
        <w:rPr>
          <w:rFonts w:ascii="Open Sans" w:hAnsi="Open Sans"/>
          <w:sz w:val="21"/>
        </w:rPr>
        <w:t>begge innsatsområder</w:t>
      </w:r>
      <w:r w:rsidRPr="002534F4">
        <w:rPr>
          <w:rFonts w:ascii="Open Sans" w:hAnsi="Open Sans"/>
          <w:sz w:val="21"/>
        </w:rPr>
        <w:t xml:space="preserve"> i IA-avtalen og dreie seg om målrettet bransje- og arbeidsplassrettet kunnskapsutvikling, formidling og veivisning i forebyggende arbeidsmiljøarbeid. </w:t>
      </w:r>
      <w:r w:rsidR="002A78F8" w:rsidRPr="002A78F8">
        <w:rPr>
          <w:rFonts w:ascii="Open Sans" w:hAnsi="Open Sans"/>
          <w:sz w:val="21"/>
        </w:rPr>
        <w:t>Arbeidet skal bidra til virksomhetenes forebygg</w:t>
      </w:r>
      <w:r w:rsidR="00970A22">
        <w:rPr>
          <w:rFonts w:ascii="Open Sans" w:hAnsi="Open Sans"/>
          <w:sz w:val="21"/>
        </w:rPr>
        <w:t>ende arbeidsmiljøarbeid</w:t>
      </w:r>
      <w:r w:rsidR="002A78F8" w:rsidRPr="002A78F8">
        <w:rPr>
          <w:rFonts w:ascii="Open Sans" w:hAnsi="Open Sans"/>
          <w:sz w:val="21"/>
        </w:rPr>
        <w:t xml:space="preserve"> på de områder som i størst grad bidrar til sykefravær og frafall. </w:t>
      </w:r>
      <w:r w:rsidR="00434ACF">
        <w:rPr>
          <w:rFonts w:ascii="Open Sans" w:hAnsi="Open Sans"/>
          <w:sz w:val="21"/>
        </w:rPr>
        <w:t>Gjennom en s</w:t>
      </w:r>
      <w:r w:rsidR="002A78F8" w:rsidRPr="002A78F8">
        <w:rPr>
          <w:rFonts w:ascii="Open Sans" w:hAnsi="Open Sans"/>
          <w:sz w:val="21"/>
        </w:rPr>
        <w:t xml:space="preserve">lik faglig spissing kombinert med en rendyrking av kunnskapsformidlings- og veiviserrollen, </w:t>
      </w:r>
      <w:r w:rsidR="00434ACF">
        <w:rPr>
          <w:rFonts w:ascii="Open Sans" w:hAnsi="Open Sans"/>
          <w:sz w:val="21"/>
        </w:rPr>
        <w:t>skal Arbeidstilsynet</w:t>
      </w:r>
      <w:r w:rsidR="002A78F8" w:rsidRPr="002A78F8">
        <w:rPr>
          <w:rFonts w:ascii="Open Sans" w:hAnsi="Open Sans"/>
          <w:sz w:val="21"/>
        </w:rPr>
        <w:t xml:space="preserve"> </w:t>
      </w:r>
      <w:r w:rsidR="00434ACF">
        <w:rPr>
          <w:rFonts w:ascii="Open Sans" w:hAnsi="Open Sans"/>
          <w:sz w:val="21"/>
        </w:rPr>
        <w:t>prioritere støtte til</w:t>
      </w:r>
      <w:r w:rsidR="00BE1024">
        <w:rPr>
          <w:rFonts w:ascii="Open Sans" w:hAnsi="Open Sans"/>
          <w:sz w:val="21"/>
        </w:rPr>
        <w:t xml:space="preserve"> bransjer, </w:t>
      </w:r>
      <w:r w:rsidR="002A78F8" w:rsidRPr="002A78F8">
        <w:rPr>
          <w:rFonts w:ascii="Open Sans" w:hAnsi="Open Sans"/>
          <w:sz w:val="21"/>
        </w:rPr>
        <w:t>sektorer og virksomhet</w:t>
      </w:r>
      <w:r w:rsidR="00BE1024">
        <w:rPr>
          <w:rFonts w:ascii="Open Sans" w:hAnsi="Open Sans"/>
          <w:sz w:val="21"/>
        </w:rPr>
        <w:t xml:space="preserve">er som trenger og ønsker </w:t>
      </w:r>
      <w:proofErr w:type="spellStart"/>
      <w:r w:rsidR="00BE1024">
        <w:rPr>
          <w:rFonts w:ascii="Open Sans" w:hAnsi="Open Sans"/>
          <w:sz w:val="21"/>
        </w:rPr>
        <w:t>veivis</w:t>
      </w:r>
      <w:r w:rsidR="002A78F8" w:rsidRPr="002A78F8">
        <w:rPr>
          <w:rFonts w:ascii="Open Sans" w:hAnsi="Open Sans"/>
          <w:sz w:val="21"/>
        </w:rPr>
        <w:t>ing</w:t>
      </w:r>
      <w:proofErr w:type="spellEnd"/>
      <w:r w:rsidR="002A78F8" w:rsidRPr="002A78F8">
        <w:rPr>
          <w:rFonts w:ascii="Open Sans" w:hAnsi="Open Sans"/>
          <w:sz w:val="21"/>
        </w:rPr>
        <w:t xml:space="preserve"> i målrettet</w:t>
      </w:r>
      <w:r w:rsidR="00776AF9">
        <w:rPr>
          <w:rFonts w:ascii="Open Sans" w:hAnsi="Open Sans"/>
          <w:sz w:val="21"/>
        </w:rPr>
        <w:t>,</w:t>
      </w:r>
      <w:r w:rsidR="002A78F8" w:rsidRPr="002A78F8">
        <w:rPr>
          <w:rFonts w:ascii="Open Sans" w:hAnsi="Open Sans"/>
          <w:sz w:val="21"/>
        </w:rPr>
        <w:t xml:space="preserve"> forebyggende arbeidsmiljøarbeid, </w:t>
      </w:r>
      <w:r w:rsidR="007F3A3F">
        <w:rPr>
          <w:rFonts w:ascii="Open Sans" w:hAnsi="Open Sans"/>
          <w:sz w:val="21"/>
        </w:rPr>
        <w:t>i tillegg til</w:t>
      </w:r>
      <w:r w:rsidR="002A78F8" w:rsidRPr="002A78F8">
        <w:rPr>
          <w:rFonts w:ascii="Open Sans" w:hAnsi="Open Sans"/>
          <w:sz w:val="21"/>
        </w:rPr>
        <w:t xml:space="preserve"> </w:t>
      </w:r>
      <w:r w:rsidR="00434ACF">
        <w:rPr>
          <w:rFonts w:ascii="Open Sans" w:hAnsi="Open Sans"/>
          <w:sz w:val="21"/>
        </w:rPr>
        <w:t xml:space="preserve">tradisjonelt </w:t>
      </w:r>
      <w:r w:rsidR="002A78F8" w:rsidRPr="002A78F8">
        <w:rPr>
          <w:rFonts w:ascii="Open Sans" w:hAnsi="Open Sans"/>
          <w:sz w:val="21"/>
        </w:rPr>
        <w:t xml:space="preserve">tilsyn og kontroll. </w:t>
      </w:r>
      <w:r w:rsidR="00A67DB5" w:rsidRPr="002534F4">
        <w:rPr>
          <w:rFonts w:ascii="Open Sans" w:hAnsi="Open Sans"/>
          <w:sz w:val="21"/>
        </w:rPr>
        <w:t xml:space="preserve"> </w:t>
      </w:r>
    </w:p>
    <w:p w:rsidR="00152630" w:rsidRDefault="00152630" w:rsidP="002534F4">
      <w:pPr>
        <w:rPr>
          <w:rFonts w:ascii="Open Sans" w:hAnsi="Open Sans"/>
          <w:sz w:val="21"/>
        </w:rPr>
      </w:pPr>
    </w:p>
    <w:p w:rsidR="002534F4" w:rsidRPr="002534F4" w:rsidRDefault="521E4423" w:rsidP="521E4423">
      <w:pPr>
        <w:rPr>
          <w:rFonts w:ascii="Open Sans" w:hAnsi="Open Sans"/>
          <w:sz w:val="21"/>
          <w:szCs w:val="21"/>
        </w:rPr>
      </w:pPr>
      <w:r w:rsidRPr="521E4423">
        <w:rPr>
          <w:rFonts w:ascii="Open Sans" w:hAnsi="Open Sans"/>
          <w:sz w:val="21"/>
          <w:szCs w:val="21"/>
        </w:rPr>
        <w:t xml:space="preserve">Satsingen forberedes og etableres gjennom et utviklingsprosjekt i 2019. Tiltak i satsingen prøves blant annet ut gjennom piloter og det tas sikte på i løpet av 2019 å etablere en samlet nettbasert løsning/portal for å formidle kunnskap og kompetanse om effektivt forebyggende arbeidsmiljøarbeid til bransjer/sektorer og virksomheter. Portalen skal gi et rammeverk for IA-samarbeid og aktivitet på den enkelte arbeidsplass og også gi insentiver til slik aktivitet. Portalen må videre klargjøre forventninger til de lokale partenes roller og hvilket ansvar de lokale partene har i </w:t>
      </w:r>
      <w:r w:rsidRPr="521E4423">
        <w:rPr>
          <w:rFonts w:ascii="Open Sans" w:hAnsi="Open Sans"/>
          <w:sz w:val="21"/>
          <w:szCs w:val="21"/>
        </w:rPr>
        <w:lastRenderedPageBreak/>
        <w:t>IA-arbeidet. Portalen må gradvis og løpende suppleres og videreutvikles etter 2019. Portalen knyttes til Arbeidstilsynets nettsider.</w:t>
      </w:r>
    </w:p>
    <w:p w:rsidR="002534F4" w:rsidRPr="002534F4" w:rsidRDefault="002534F4" w:rsidP="002534F4">
      <w:pPr>
        <w:rPr>
          <w:rFonts w:ascii="Open Sans" w:hAnsi="Open Sans"/>
          <w:sz w:val="21"/>
        </w:rPr>
      </w:pPr>
    </w:p>
    <w:p w:rsidR="00367AC6" w:rsidRDefault="002534F4" w:rsidP="002534F4">
      <w:pPr>
        <w:rPr>
          <w:rFonts w:ascii="Open Sans" w:hAnsi="Open Sans"/>
          <w:sz w:val="21"/>
        </w:rPr>
      </w:pPr>
      <w:r w:rsidRPr="002534F4">
        <w:rPr>
          <w:rFonts w:ascii="Open Sans" w:hAnsi="Open Sans"/>
          <w:sz w:val="21"/>
        </w:rPr>
        <w:t xml:space="preserve">Arbeidsmiljøsatsingen innebærer tilgjengeliggjøring av kunnskapsbasert informasjons- og veivisingsmateriell og anbefalinger, slik at virksomhetene enkelt kan ta i bruk de nye virkemidlene som støtte og inspirasjon i sitt eget lokale forbedringsarbeid. Portalen skal være brukerorientert og interaktiv, slik at partene på arbeidsplassen i fellesskap kan kartlegge egen virksomhet og måle egne aktiviteter og resultater opp mot andre virksomheter det er naturlig å sammenligne seg med. </w:t>
      </w:r>
    </w:p>
    <w:p w:rsidR="00367AC6" w:rsidRDefault="00367AC6" w:rsidP="002534F4">
      <w:pPr>
        <w:rPr>
          <w:rFonts w:ascii="Open Sans" w:hAnsi="Open Sans"/>
          <w:sz w:val="21"/>
        </w:rPr>
      </w:pPr>
    </w:p>
    <w:p w:rsidR="002534F4" w:rsidRPr="002534F4" w:rsidRDefault="002534F4" w:rsidP="002534F4">
      <w:pPr>
        <w:rPr>
          <w:rFonts w:ascii="Open Sans" w:hAnsi="Open Sans"/>
          <w:sz w:val="21"/>
        </w:rPr>
      </w:pPr>
      <w:r w:rsidRPr="002534F4">
        <w:rPr>
          <w:rFonts w:ascii="Open Sans" w:hAnsi="Open Sans"/>
          <w:sz w:val="21"/>
        </w:rPr>
        <w:t xml:space="preserve">Portalen må ses som et supplement til tjenestene som leveres av NAV Arbeidslivssenter og skal også forenkle virksomhetenes dialog med disse, </w:t>
      </w:r>
      <w:r w:rsidR="00367AC6">
        <w:rPr>
          <w:rFonts w:ascii="Open Sans" w:hAnsi="Open Sans"/>
          <w:sz w:val="21"/>
        </w:rPr>
        <w:t>blant annet</w:t>
      </w:r>
      <w:r w:rsidRPr="002534F4">
        <w:rPr>
          <w:rFonts w:ascii="Open Sans" w:hAnsi="Open Sans"/>
          <w:sz w:val="21"/>
        </w:rPr>
        <w:t xml:space="preserve"> gjennom lenker til NAV.no. Arbeidslivssentrene skal legge kunnskap og kompetanse fra arbeidsmiljøsatsingen til grunn for sin bistand og støtte til virksomhetene.</w:t>
      </w:r>
    </w:p>
    <w:p w:rsidR="002534F4" w:rsidRPr="002534F4" w:rsidRDefault="002534F4" w:rsidP="002534F4">
      <w:pPr>
        <w:rPr>
          <w:rFonts w:ascii="Open Sans" w:hAnsi="Open Sans"/>
          <w:sz w:val="21"/>
        </w:rPr>
      </w:pPr>
    </w:p>
    <w:p w:rsidR="00367AC6" w:rsidRDefault="002534F4" w:rsidP="002534F4">
      <w:pPr>
        <w:rPr>
          <w:rFonts w:ascii="Open Sans" w:hAnsi="Open Sans"/>
          <w:sz w:val="21"/>
        </w:rPr>
      </w:pPr>
      <w:r w:rsidRPr="002534F4">
        <w:rPr>
          <w:rFonts w:ascii="Open Sans" w:hAnsi="Open Sans"/>
          <w:sz w:val="21"/>
        </w:rPr>
        <w:t xml:space="preserve">I tillegg til virksomhetene, vil viktige målgrupper for satsingen være bedriftshelsetjenesten, Arbeids- og velferdsetaten </w:t>
      </w:r>
      <w:r w:rsidR="00367AC6">
        <w:rPr>
          <w:rFonts w:ascii="Open Sans" w:hAnsi="Open Sans"/>
          <w:sz w:val="21"/>
        </w:rPr>
        <w:t xml:space="preserve">- </w:t>
      </w:r>
      <w:r w:rsidRPr="002534F4">
        <w:rPr>
          <w:rFonts w:ascii="Open Sans" w:hAnsi="Open Sans"/>
          <w:sz w:val="21"/>
        </w:rPr>
        <w:t xml:space="preserve">herunder NAV Arbeidslivssenter, </w:t>
      </w:r>
      <w:r w:rsidR="00E8680C">
        <w:rPr>
          <w:rFonts w:ascii="Open Sans" w:hAnsi="Open Sans"/>
          <w:sz w:val="21"/>
        </w:rPr>
        <w:t>relevante organisasjoner</w:t>
      </w:r>
      <w:r w:rsidR="007B20EE">
        <w:rPr>
          <w:rFonts w:ascii="Open Sans" w:hAnsi="Open Sans"/>
          <w:sz w:val="21"/>
        </w:rPr>
        <w:t xml:space="preserve"> mv. </w:t>
      </w:r>
      <w:r w:rsidRPr="002534F4">
        <w:rPr>
          <w:rFonts w:ascii="Open Sans" w:hAnsi="Open Sans"/>
          <w:sz w:val="21"/>
        </w:rPr>
        <w:t xml:space="preserve">Gjennom en kombinasjon av digitale verktøy og rådgivning og veivisning fra myndighetene skal arbeidsmiljøsatsingen nå </w:t>
      </w:r>
      <w:r w:rsidR="00367AC6">
        <w:rPr>
          <w:rFonts w:ascii="Open Sans" w:hAnsi="Open Sans"/>
          <w:sz w:val="21"/>
        </w:rPr>
        <w:t xml:space="preserve">ut til </w:t>
      </w:r>
      <w:r w:rsidRPr="002534F4">
        <w:rPr>
          <w:rFonts w:ascii="Open Sans" w:hAnsi="Open Sans"/>
          <w:sz w:val="21"/>
        </w:rPr>
        <w:t xml:space="preserve">hele arbeidslivet. Det opprettes en referansegruppe for satsingen med relevante parter og myndigheter. </w:t>
      </w:r>
    </w:p>
    <w:p w:rsidR="00713CB8" w:rsidRPr="0095275A" w:rsidRDefault="00713CB8" w:rsidP="00367AC6">
      <w:pPr>
        <w:pStyle w:val="Overskrift3"/>
        <w:rPr>
          <w:rFonts w:ascii="Open Sans" w:hAnsi="Open Sans" w:cs="Open Sans"/>
        </w:rPr>
      </w:pPr>
      <w:r w:rsidRPr="0095275A">
        <w:rPr>
          <w:rFonts w:ascii="Open Sans" w:hAnsi="Open Sans" w:cs="Open Sans"/>
        </w:rPr>
        <w:t>Opplæring i arbeidsmiljøarbeid</w:t>
      </w:r>
    </w:p>
    <w:p w:rsidR="0011615E" w:rsidRPr="0011615E" w:rsidRDefault="521E4423" w:rsidP="521E4423">
      <w:pPr>
        <w:rPr>
          <w:rFonts w:ascii="Open Sans" w:hAnsi="Open Sans"/>
          <w:sz w:val="21"/>
          <w:szCs w:val="21"/>
        </w:rPr>
      </w:pPr>
      <w:r w:rsidRPr="521E4423">
        <w:rPr>
          <w:rFonts w:ascii="Open Sans" w:hAnsi="Open Sans"/>
          <w:sz w:val="21"/>
          <w:szCs w:val="21"/>
        </w:rPr>
        <w:t>Arbeidsgiver- og arbeidstakerorganisasjonene vil bidra til bedre og kunnskapsbasert opplæring i arbeidsmiljøarbeid. Kunnskap og kompetanse blant ledere, tillitsvalgte og verneombud er helt avgjørende for å oppnå resultater på arbeidsplassene. Opplæring i arbeidsmiljø og målrettet arbeidsmiljøarbeid skal bygge på kunnskap og kompetanse fra den nye arbeidsmiljøsatsingen og skal inngå i leder, tillitsvalgt- og verneombudsopplæringen. Portalen som er omtalt tidligere kan være et godt verktøy også i opplæringen i arbeidsmiljøarbeid.</w:t>
      </w:r>
    </w:p>
    <w:p w:rsidR="0011615E" w:rsidRPr="0095275A" w:rsidRDefault="0011615E" w:rsidP="0011615E">
      <w:pPr>
        <w:pStyle w:val="Overskrift3"/>
        <w:rPr>
          <w:rFonts w:ascii="Open Sans" w:hAnsi="Open Sans" w:cs="Open Sans"/>
        </w:rPr>
      </w:pPr>
      <w:r w:rsidRPr="0095275A">
        <w:rPr>
          <w:rFonts w:ascii="Open Sans" w:hAnsi="Open Sans" w:cs="Open Sans"/>
        </w:rPr>
        <w:t>En koordinert arbeidslivstjeneste</w:t>
      </w:r>
    </w:p>
    <w:p w:rsidR="00367AC6" w:rsidRDefault="00367AC6" w:rsidP="00367AC6">
      <w:pPr>
        <w:rPr>
          <w:rFonts w:ascii="Open Sans" w:hAnsi="Open Sans"/>
          <w:sz w:val="21"/>
        </w:rPr>
      </w:pPr>
      <w:r w:rsidRPr="00367AC6">
        <w:rPr>
          <w:rFonts w:ascii="Open Sans" w:hAnsi="Open Sans"/>
          <w:sz w:val="21"/>
        </w:rPr>
        <w:t>Arbeidet med å skape et inkluderende arbeidsliv skjer i den enkelte virksomhet. En viktig forutsetning for å lykkes med dette er godt partssamarbeid. For å få bistand og støtte til arbeidet med IA-avtalens mål og innsatsområder på den enkelte arbeidsplass, kan virksomheter inngå samarbeid med NAV Arbeidslivssenter. NAV Arbeidslivssenters bistand og kompetanse vi</w:t>
      </w:r>
      <w:r w:rsidR="00A32E04">
        <w:rPr>
          <w:rFonts w:ascii="Open Sans" w:hAnsi="Open Sans"/>
          <w:sz w:val="21"/>
        </w:rPr>
        <w:t xml:space="preserve">l være et sentralt virkemiddel </w:t>
      </w:r>
      <w:r w:rsidRPr="00367AC6">
        <w:rPr>
          <w:rFonts w:ascii="Open Sans" w:hAnsi="Open Sans"/>
          <w:sz w:val="21"/>
        </w:rPr>
        <w:t xml:space="preserve">overfor virksomheter i IA-arbeidet. Det skal være en dokumentert dialog mellom partene i den enkelte virksomhet før NAV Arbeidslivssenter yter bistand. </w:t>
      </w:r>
    </w:p>
    <w:p w:rsidR="00C30698" w:rsidRPr="00367AC6" w:rsidRDefault="00C30698" w:rsidP="00367AC6">
      <w:pPr>
        <w:rPr>
          <w:rFonts w:ascii="Open Sans" w:hAnsi="Open Sans"/>
          <w:sz w:val="21"/>
        </w:rPr>
      </w:pPr>
    </w:p>
    <w:p w:rsidR="00367AC6" w:rsidRDefault="00367AC6" w:rsidP="00367AC6">
      <w:pPr>
        <w:rPr>
          <w:rFonts w:ascii="Open Sans" w:hAnsi="Open Sans"/>
          <w:sz w:val="21"/>
        </w:rPr>
      </w:pPr>
      <w:r w:rsidRPr="00367AC6">
        <w:rPr>
          <w:rFonts w:ascii="Open Sans" w:hAnsi="Open Sans"/>
          <w:sz w:val="21"/>
        </w:rPr>
        <w:t xml:space="preserve">Arbeids- og velferdsetaten skal utvikle digitale tjenester som gir virksomheter et samlet tjenestetilbud og samhandlingsflate med Arbeids- og velferdsetaten. Dette vil gi virksomheter et digitalt kontaktpunkt som kan forenkle og effektivisere virksomhetenes dialog og samarbeid med Arbeids- og velferdsetaten, herunder NAV Arbeidslivssenter. Partene er enige i at flere funksjoner vil ivaretas av digitale tjenester i tiden fremover, og at personlige støttefunksjoner vil være forbeholdt </w:t>
      </w:r>
      <w:r w:rsidRPr="00367AC6">
        <w:rPr>
          <w:rFonts w:ascii="Open Sans" w:hAnsi="Open Sans"/>
          <w:sz w:val="21"/>
        </w:rPr>
        <w:lastRenderedPageBreak/>
        <w:t xml:space="preserve">saker hvor behovet for bistand er størst. Virksomheter som har en fast kontaktperson i NAV Arbeidslivssenter kan beholde dette med mindre virksomhetskontakten kan ivaretas på en annen og bedre måte. </w:t>
      </w:r>
    </w:p>
    <w:p w:rsidR="00A32E04" w:rsidRPr="00367AC6" w:rsidRDefault="00A32E04" w:rsidP="00367AC6">
      <w:pPr>
        <w:rPr>
          <w:rFonts w:ascii="Open Sans" w:hAnsi="Open Sans"/>
          <w:sz w:val="21"/>
        </w:rPr>
      </w:pPr>
    </w:p>
    <w:p w:rsidR="00367AC6" w:rsidRDefault="00367AC6" w:rsidP="00367AC6">
      <w:pPr>
        <w:rPr>
          <w:rFonts w:ascii="Open Sans" w:hAnsi="Open Sans"/>
          <w:sz w:val="21"/>
        </w:rPr>
      </w:pPr>
      <w:r w:rsidRPr="00367AC6">
        <w:rPr>
          <w:rFonts w:ascii="Open Sans" w:hAnsi="Open Sans"/>
          <w:sz w:val="21"/>
        </w:rPr>
        <w:t xml:space="preserve">Ressursene i arbeidslivssentrene skal være et virkemiddel i IA-arbeidet. </w:t>
      </w:r>
    </w:p>
    <w:p w:rsidR="00A32E04" w:rsidRPr="00367AC6" w:rsidRDefault="00A32E04" w:rsidP="00367AC6">
      <w:pPr>
        <w:rPr>
          <w:rFonts w:ascii="Open Sans" w:hAnsi="Open Sans"/>
          <w:sz w:val="21"/>
        </w:rPr>
      </w:pPr>
    </w:p>
    <w:p w:rsidR="00C23DC3" w:rsidRDefault="00367AC6" w:rsidP="00367AC6">
      <w:pPr>
        <w:rPr>
          <w:rFonts w:ascii="Open Sans" w:hAnsi="Open Sans"/>
          <w:sz w:val="21"/>
        </w:rPr>
      </w:pPr>
      <w:r w:rsidRPr="00367AC6">
        <w:rPr>
          <w:rFonts w:ascii="Open Sans" w:hAnsi="Open Sans"/>
          <w:sz w:val="21"/>
        </w:rPr>
        <w:t>For å støtte opp under arbeidet med å forebygge og redusere sykefravær på den enkelte arbeidsplass, skal det opprettes et tilskudd til ekspertbistand i enkeltsaker med lange og/eller hyppig gjentagende sykefravær. Tilskuddet begrenses til situasjoner hvor dokumenterte bedriftsinterne tiltak og andre offentlige støt</w:t>
      </w:r>
      <w:r w:rsidR="00A32E04">
        <w:rPr>
          <w:rFonts w:ascii="Open Sans" w:hAnsi="Open Sans"/>
          <w:sz w:val="21"/>
        </w:rPr>
        <w:t xml:space="preserve">teordninger er utprøvd, og hvor </w:t>
      </w:r>
      <w:r w:rsidRPr="00367AC6">
        <w:rPr>
          <w:rFonts w:ascii="Open Sans" w:hAnsi="Open Sans"/>
          <w:sz w:val="21"/>
        </w:rPr>
        <w:t>arbeidsgiver, NAV Arbeidslivssenter og den enkelte arbeidstaker er enige om at det er hensiktsmessig med ekstern ekspertbistand for å finne løsninger.</w:t>
      </w:r>
    </w:p>
    <w:p w:rsidR="002534F4" w:rsidRPr="0095275A" w:rsidRDefault="002534F4" w:rsidP="00A32E04">
      <w:pPr>
        <w:pStyle w:val="Overskrift3"/>
        <w:rPr>
          <w:rFonts w:ascii="Open Sans" w:hAnsi="Open Sans" w:cs="Open Sans"/>
        </w:rPr>
      </w:pPr>
      <w:proofErr w:type="spellStart"/>
      <w:r w:rsidRPr="0095275A">
        <w:rPr>
          <w:rFonts w:ascii="Open Sans" w:hAnsi="Open Sans" w:cs="Open Sans"/>
        </w:rPr>
        <w:t>HelseIArbeid</w:t>
      </w:r>
      <w:proofErr w:type="spellEnd"/>
    </w:p>
    <w:p w:rsidR="00A32E04" w:rsidRDefault="002534F4" w:rsidP="002534F4">
      <w:pPr>
        <w:rPr>
          <w:rFonts w:ascii="Open Sans" w:hAnsi="Open Sans"/>
          <w:sz w:val="21"/>
        </w:rPr>
      </w:pPr>
      <w:r w:rsidRPr="002534F4">
        <w:rPr>
          <w:rFonts w:ascii="Open Sans" w:hAnsi="Open Sans"/>
          <w:sz w:val="21"/>
        </w:rPr>
        <w:t xml:space="preserve">Virkemiddelet </w:t>
      </w:r>
      <w:proofErr w:type="spellStart"/>
      <w:r w:rsidRPr="00610EC0">
        <w:rPr>
          <w:rFonts w:ascii="Open Sans" w:hAnsi="Open Sans"/>
          <w:sz w:val="21"/>
        </w:rPr>
        <w:t>HelseIArbeid</w:t>
      </w:r>
      <w:proofErr w:type="spellEnd"/>
      <w:r w:rsidRPr="00610EC0">
        <w:rPr>
          <w:rFonts w:ascii="Open Sans" w:hAnsi="Open Sans"/>
          <w:sz w:val="21"/>
        </w:rPr>
        <w:t xml:space="preserve"> består</w:t>
      </w:r>
      <w:r w:rsidRPr="002534F4">
        <w:rPr>
          <w:rFonts w:ascii="Open Sans" w:hAnsi="Open Sans"/>
          <w:sz w:val="21"/>
        </w:rPr>
        <w:t xml:space="preserve"> av en satsing på helsefremmende og forebyggende kunnskapsformidling på arbeidsplassen, med rask tilgang på individrettet tverrfaglig utredning og avklaring som skal fremme mestring og arbeidsdeltakelse. Målgruppen er den </w:t>
      </w:r>
      <w:r w:rsidR="00A32E04">
        <w:rPr>
          <w:rFonts w:ascii="Open Sans" w:hAnsi="Open Sans"/>
          <w:sz w:val="21"/>
        </w:rPr>
        <w:t>store</w:t>
      </w:r>
      <w:r w:rsidR="00A32E04" w:rsidRPr="002534F4">
        <w:rPr>
          <w:rFonts w:ascii="Open Sans" w:hAnsi="Open Sans"/>
          <w:sz w:val="21"/>
        </w:rPr>
        <w:t xml:space="preserve"> </w:t>
      </w:r>
      <w:r w:rsidRPr="002534F4">
        <w:rPr>
          <w:rFonts w:ascii="Open Sans" w:hAnsi="Open Sans"/>
          <w:sz w:val="21"/>
        </w:rPr>
        <w:t>gruppen arbeidstakere som står i fare for å falle utenfor arbeidslivet grunnet muskel-skjelett</w:t>
      </w:r>
      <w:r w:rsidR="00A32E04">
        <w:rPr>
          <w:rFonts w:ascii="Open Sans" w:hAnsi="Open Sans"/>
          <w:sz w:val="21"/>
        </w:rPr>
        <w:t>lidelser</w:t>
      </w:r>
      <w:r w:rsidRPr="002534F4">
        <w:rPr>
          <w:rFonts w:ascii="Open Sans" w:hAnsi="Open Sans"/>
          <w:sz w:val="21"/>
        </w:rPr>
        <w:t xml:space="preserve"> og/eller psykiske plager.</w:t>
      </w:r>
    </w:p>
    <w:p w:rsidR="00A32E04" w:rsidRDefault="00A32E04" w:rsidP="002534F4">
      <w:pPr>
        <w:rPr>
          <w:rFonts w:ascii="Open Sans" w:hAnsi="Open Sans"/>
          <w:sz w:val="21"/>
        </w:rPr>
      </w:pPr>
    </w:p>
    <w:p w:rsidR="002534F4" w:rsidRPr="002534F4" w:rsidRDefault="002534F4" w:rsidP="002534F4">
      <w:pPr>
        <w:rPr>
          <w:rFonts w:ascii="Open Sans" w:hAnsi="Open Sans"/>
          <w:sz w:val="21"/>
        </w:rPr>
      </w:pPr>
      <w:proofErr w:type="spellStart"/>
      <w:r w:rsidRPr="002534F4">
        <w:rPr>
          <w:rFonts w:ascii="Open Sans" w:hAnsi="Open Sans"/>
          <w:sz w:val="21"/>
        </w:rPr>
        <w:t>HelseIArbeid</w:t>
      </w:r>
      <w:proofErr w:type="spellEnd"/>
      <w:r w:rsidRPr="002534F4">
        <w:rPr>
          <w:rFonts w:ascii="Open Sans" w:hAnsi="Open Sans"/>
          <w:sz w:val="21"/>
        </w:rPr>
        <w:t xml:space="preserve"> tilbys i dag i de tre nordligste fylkene. Avtalepartene er enige om å gjennomføre </w:t>
      </w:r>
      <w:proofErr w:type="spellStart"/>
      <w:r w:rsidRPr="002534F4">
        <w:rPr>
          <w:rFonts w:ascii="Open Sans" w:hAnsi="Open Sans"/>
          <w:sz w:val="21"/>
        </w:rPr>
        <w:t>HelseIArbeid</w:t>
      </w:r>
      <w:proofErr w:type="spellEnd"/>
      <w:r w:rsidRPr="002534F4">
        <w:rPr>
          <w:rFonts w:ascii="Open Sans" w:hAnsi="Open Sans"/>
          <w:sz w:val="21"/>
        </w:rPr>
        <w:t xml:space="preserve"> i større omfang enn i dag. Tiltaket skal gjennomføres innenfor rammen av dagens regelverk og prioriteringsforskriften. </w:t>
      </w:r>
    </w:p>
    <w:p w:rsidR="002534F4" w:rsidRPr="002534F4" w:rsidRDefault="002534F4" w:rsidP="002534F4">
      <w:pPr>
        <w:rPr>
          <w:rFonts w:ascii="Open Sans" w:hAnsi="Open Sans"/>
          <w:sz w:val="21"/>
        </w:rPr>
      </w:pPr>
    </w:p>
    <w:p w:rsidR="002534F4" w:rsidRPr="002534F4" w:rsidRDefault="002534F4" w:rsidP="002534F4">
      <w:pPr>
        <w:rPr>
          <w:rFonts w:ascii="Open Sans" w:hAnsi="Open Sans"/>
          <w:sz w:val="21"/>
        </w:rPr>
      </w:pPr>
      <w:r w:rsidRPr="002534F4">
        <w:rPr>
          <w:rFonts w:ascii="Open Sans" w:hAnsi="Open Sans"/>
          <w:sz w:val="21"/>
        </w:rPr>
        <w:t xml:space="preserve">Ressurser i arbeidslivssentrene skal brukes for </w:t>
      </w:r>
      <w:r w:rsidR="00A32E04">
        <w:rPr>
          <w:rFonts w:ascii="Open Sans" w:hAnsi="Open Sans"/>
          <w:sz w:val="21"/>
        </w:rPr>
        <w:t xml:space="preserve">å </w:t>
      </w:r>
      <w:r w:rsidRPr="002534F4">
        <w:rPr>
          <w:rFonts w:ascii="Open Sans" w:hAnsi="Open Sans"/>
          <w:sz w:val="21"/>
        </w:rPr>
        <w:t xml:space="preserve">få til et større omfang av </w:t>
      </w:r>
      <w:proofErr w:type="spellStart"/>
      <w:r w:rsidRPr="002534F4">
        <w:rPr>
          <w:rFonts w:ascii="Open Sans" w:hAnsi="Open Sans"/>
          <w:sz w:val="21"/>
        </w:rPr>
        <w:t>HelseIArbeid</w:t>
      </w:r>
      <w:proofErr w:type="spellEnd"/>
      <w:r w:rsidRPr="002534F4">
        <w:rPr>
          <w:rFonts w:ascii="Open Sans" w:hAnsi="Open Sans"/>
          <w:sz w:val="21"/>
        </w:rPr>
        <w:t xml:space="preserve">. </w:t>
      </w:r>
    </w:p>
    <w:p w:rsidR="002534F4" w:rsidRPr="0095275A" w:rsidRDefault="521E4423" w:rsidP="00A32E04">
      <w:pPr>
        <w:pStyle w:val="Overskrift3"/>
        <w:rPr>
          <w:rFonts w:ascii="Open Sans" w:hAnsi="Open Sans" w:cs="Open Sans"/>
        </w:rPr>
      </w:pPr>
      <w:r w:rsidRPr="0095275A">
        <w:rPr>
          <w:rFonts w:ascii="Open Sans" w:hAnsi="Open Sans" w:cs="Open Sans"/>
        </w:rPr>
        <w:t>Kompetansetiltak</w:t>
      </w:r>
    </w:p>
    <w:p w:rsidR="00D919CC" w:rsidRDefault="002534F4" w:rsidP="002534F4">
      <w:proofErr w:type="spellStart"/>
      <w:r w:rsidRPr="002534F4">
        <w:rPr>
          <w:rFonts w:ascii="Open Sans" w:hAnsi="Open Sans"/>
          <w:sz w:val="21"/>
        </w:rPr>
        <w:t>Langtidssykmeldte</w:t>
      </w:r>
      <w:proofErr w:type="spellEnd"/>
      <w:r w:rsidRPr="002534F4">
        <w:rPr>
          <w:rFonts w:ascii="Open Sans" w:hAnsi="Open Sans"/>
          <w:sz w:val="21"/>
        </w:rPr>
        <w:t xml:space="preserve"> er en sammensatt gruppe, og for noen kan det tidlig være klart at det er nødvendig med kompetansetiltak for å kunne stå i arbeid. </w:t>
      </w:r>
      <w:r w:rsidR="00750C2B">
        <w:rPr>
          <w:rFonts w:ascii="Open Sans" w:hAnsi="Open Sans"/>
          <w:sz w:val="21"/>
        </w:rPr>
        <w:t xml:space="preserve">I tilfeller hvor bedriftsintern tilrettelegging ikke fører frem, skal Arbeids- og velferdsetaten vurdere om arbeidsrettede </w:t>
      </w:r>
      <w:r w:rsidR="00BE1024">
        <w:rPr>
          <w:rFonts w:ascii="Open Sans" w:hAnsi="Open Sans"/>
          <w:sz w:val="21"/>
        </w:rPr>
        <w:t>tiltak skal prøves så tidlig so</w:t>
      </w:r>
      <w:r w:rsidR="00750C2B">
        <w:rPr>
          <w:rFonts w:ascii="Open Sans" w:hAnsi="Open Sans"/>
          <w:sz w:val="21"/>
        </w:rPr>
        <w:t xml:space="preserve">m mulig. For å støtte opp under og styrke dette ansvaret, skal det igangsettes et forsøk med utvidet bruk av kompetansetiltak i regi av myndighetene. </w:t>
      </w:r>
      <w:r w:rsidRPr="002534F4">
        <w:rPr>
          <w:rFonts w:ascii="Open Sans" w:hAnsi="Open Sans"/>
          <w:sz w:val="21"/>
        </w:rPr>
        <w:t xml:space="preserve">Målgruppen er </w:t>
      </w:r>
      <w:proofErr w:type="spellStart"/>
      <w:r w:rsidRPr="002534F4">
        <w:rPr>
          <w:rFonts w:ascii="Open Sans" w:hAnsi="Open Sans"/>
          <w:sz w:val="21"/>
        </w:rPr>
        <w:t>langtidssykmeldte</w:t>
      </w:r>
      <w:proofErr w:type="spellEnd"/>
      <w:r w:rsidRPr="002534F4">
        <w:rPr>
          <w:rFonts w:ascii="Open Sans" w:hAnsi="Open Sans"/>
          <w:sz w:val="21"/>
        </w:rPr>
        <w:t xml:space="preserve"> arbeidstakere som på grunn av sykdom eller skade ikke kan komme tilbake til sin tidligere arbeidsgiver og som har behov for kompetansetiltak for å kunne kvalifiseres til annet arbeid og stå i arbeid. Forsøket skal gi ny kunnskap om hvorvidt og hvordan kompetanse kan styrke arbeidstilknytningen til personer i denne målgruppen. Det opprettes en referansegruppe for satsingen med partene og relevante myndigheter.</w:t>
      </w:r>
    </w:p>
    <w:p w:rsidR="00D919CC" w:rsidRPr="0095275A" w:rsidRDefault="521E4423" w:rsidP="00D919CC">
      <w:pPr>
        <w:pStyle w:val="Overskrift3"/>
        <w:rPr>
          <w:rFonts w:ascii="Open Sans" w:hAnsi="Open Sans" w:cs="Open Sans"/>
        </w:rPr>
      </w:pPr>
      <w:r w:rsidRPr="0095275A">
        <w:rPr>
          <w:rFonts w:ascii="Open Sans" w:hAnsi="Open Sans" w:cs="Open Sans"/>
        </w:rPr>
        <w:t>Sykefraværsoppfølging</w:t>
      </w:r>
    </w:p>
    <w:p w:rsidR="002534F4" w:rsidRPr="002534F4" w:rsidRDefault="521E4423" w:rsidP="521E4423">
      <w:pPr>
        <w:rPr>
          <w:rFonts w:ascii="Open Sans" w:hAnsi="Open Sans"/>
          <w:sz w:val="21"/>
          <w:szCs w:val="21"/>
        </w:rPr>
      </w:pPr>
      <w:r w:rsidRPr="521E4423">
        <w:rPr>
          <w:rFonts w:ascii="Open Sans" w:hAnsi="Open Sans"/>
          <w:sz w:val="21"/>
          <w:szCs w:val="21"/>
        </w:rPr>
        <w:t>Som støtte til legers sykmeldingsarbeid</w:t>
      </w:r>
      <w:r w:rsidRPr="521E4423">
        <w:rPr>
          <w:rFonts w:ascii="Open Sans" w:hAnsi="Open Sans"/>
          <w:i/>
          <w:iCs/>
          <w:sz w:val="21"/>
          <w:szCs w:val="21"/>
        </w:rPr>
        <w:t xml:space="preserve"> </w:t>
      </w:r>
      <w:r w:rsidRPr="521E4423">
        <w:rPr>
          <w:rFonts w:ascii="Open Sans" w:hAnsi="Open Sans"/>
          <w:sz w:val="21"/>
          <w:szCs w:val="21"/>
        </w:rPr>
        <w:t xml:space="preserve">skal det utarbeides en ny kursmodul om sykmeldingsarbeid i SKIL – Senter for kvalitet i legekontor. Kursmodulene utvikles av SKIL med partene og myndighetene i en referansegruppe, og skal bygge på eksisterende faglige støtteverktøy for sykmelder. </w:t>
      </w:r>
    </w:p>
    <w:p w:rsidR="002534F4" w:rsidRPr="002534F4" w:rsidRDefault="002534F4" w:rsidP="002534F4">
      <w:pPr>
        <w:rPr>
          <w:rFonts w:ascii="Open Sans" w:hAnsi="Open Sans"/>
          <w:sz w:val="21"/>
        </w:rPr>
      </w:pPr>
    </w:p>
    <w:p w:rsidR="006631FF" w:rsidRDefault="00713CB8" w:rsidP="002534F4">
      <w:pPr>
        <w:rPr>
          <w:rFonts w:ascii="Open Sans" w:hAnsi="Open Sans"/>
          <w:sz w:val="21"/>
        </w:rPr>
      </w:pPr>
      <w:r>
        <w:rPr>
          <w:rFonts w:ascii="Open Sans" w:hAnsi="Open Sans"/>
          <w:sz w:val="21"/>
        </w:rPr>
        <w:t>O</w:t>
      </w:r>
      <w:r w:rsidRPr="00713CB8">
        <w:rPr>
          <w:rFonts w:ascii="Open Sans" w:hAnsi="Open Sans"/>
          <w:sz w:val="21"/>
        </w:rPr>
        <w:t xml:space="preserve">rdningen med utvidet rett til egenmelding har vært et godt og hensiktsmessig virkemiddel for å fremme dialog på arbeidsplassen og avlaste helsevesenet med hensyn til oppfølging av korttidssykefravær. </w:t>
      </w:r>
    </w:p>
    <w:p w:rsidR="006631FF" w:rsidRDefault="006631FF" w:rsidP="002534F4">
      <w:pPr>
        <w:rPr>
          <w:rFonts w:ascii="Open Sans" w:hAnsi="Open Sans"/>
          <w:sz w:val="21"/>
        </w:rPr>
      </w:pPr>
    </w:p>
    <w:p w:rsidR="006631FF" w:rsidRDefault="002534F4" w:rsidP="002534F4">
      <w:pPr>
        <w:rPr>
          <w:rFonts w:ascii="Open Sans" w:hAnsi="Open Sans"/>
          <w:sz w:val="21"/>
        </w:rPr>
      </w:pPr>
      <w:r w:rsidRPr="002534F4">
        <w:rPr>
          <w:rFonts w:ascii="Open Sans" w:hAnsi="Open Sans"/>
          <w:sz w:val="21"/>
        </w:rPr>
        <w:t xml:space="preserve">Partene i IA-avtalen foreslår at muligheten til å avtale utvidet rett til egenmelding </w:t>
      </w:r>
      <w:r w:rsidR="00713CB8">
        <w:rPr>
          <w:rFonts w:ascii="Open Sans" w:hAnsi="Open Sans"/>
          <w:sz w:val="21"/>
        </w:rPr>
        <w:t xml:space="preserve">presiseres i folketrygdloven. Det foreslås videre at det innføres en plikt for </w:t>
      </w:r>
      <w:r w:rsidRPr="002534F4">
        <w:rPr>
          <w:rFonts w:ascii="Open Sans" w:hAnsi="Open Sans"/>
          <w:sz w:val="21"/>
        </w:rPr>
        <w:t xml:space="preserve">arbeidsgiver </w:t>
      </w:r>
      <w:r w:rsidR="00713CB8">
        <w:rPr>
          <w:rFonts w:ascii="Open Sans" w:hAnsi="Open Sans"/>
          <w:sz w:val="21"/>
        </w:rPr>
        <w:t>til å</w:t>
      </w:r>
      <w:r w:rsidRPr="002534F4">
        <w:rPr>
          <w:rFonts w:ascii="Open Sans" w:hAnsi="Open Sans"/>
          <w:sz w:val="21"/>
        </w:rPr>
        <w:t xml:space="preserve"> drøfte </w:t>
      </w:r>
      <w:r w:rsidR="00A32E04" w:rsidRPr="00A32E04">
        <w:rPr>
          <w:rFonts w:ascii="Open Sans" w:hAnsi="Open Sans"/>
          <w:sz w:val="21"/>
        </w:rPr>
        <w:t xml:space="preserve">utvidet rett til egenmelding </w:t>
      </w:r>
      <w:r w:rsidR="00713CB8">
        <w:rPr>
          <w:rFonts w:ascii="Open Sans" w:hAnsi="Open Sans"/>
          <w:sz w:val="21"/>
        </w:rPr>
        <w:t>med de tillitsvalgte</w:t>
      </w:r>
      <w:r w:rsidR="00713CB8" w:rsidRPr="006631FF">
        <w:rPr>
          <w:rFonts w:ascii="Open Sans" w:hAnsi="Open Sans"/>
          <w:sz w:val="21"/>
        </w:rPr>
        <w:t>.</w:t>
      </w:r>
      <w:r w:rsidR="00713CB8">
        <w:rPr>
          <w:rFonts w:ascii="Open Sans" w:hAnsi="Open Sans"/>
          <w:sz w:val="21"/>
        </w:rPr>
        <w:t xml:space="preserve"> </w:t>
      </w:r>
      <w:r w:rsidRPr="002534F4">
        <w:rPr>
          <w:rFonts w:ascii="Open Sans" w:hAnsi="Open Sans"/>
          <w:sz w:val="21"/>
        </w:rPr>
        <w:t xml:space="preserve"> Dette vil medføre at flere arbeidstakere enn i dag kan få mulighet til utvidet egenmelding. </w:t>
      </w:r>
    </w:p>
    <w:p w:rsidR="006631FF" w:rsidRDefault="006631FF" w:rsidP="002534F4">
      <w:pPr>
        <w:rPr>
          <w:rFonts w:ascii="Open Sans" w:hAnsi="Open Sans"/>
          <w:sz w:val="21"/>
        </w:rPr>
      </w:pPr>
    </w:p>
    <w:p w:rsidR="002534F4" w:rsidRPr="002534F4" w:rsidRDefault="00713CB8" w:rsidP="002534F4">
      <w:pPr>
        <w:rPr>
          <w:rFonts w:ascii="Open Sans" w:hAnsi="Open Sans"/>
          <w:sz w:val="21"/>
        </w:rPr>
      </w:pPr>
      <w:r>
        <w:rPr>
          <w:rFonts w:ascii="Open Sans" w:hAnsi="Open Sans"/>
          <w:sz w:val="21"/>
        </w:rPr>
        <w:t>Organisasjonene</w:t>
      </w:r>
      <w:r w:rsidR="002534F4" w:rsidRPr="002534F4">
        <w:rPr>
          <w:rFonts w:ascii="Open Sans" w:hAnsi="Open Sans"/>
          <w:sz w:val="21"/>
        </w:rPr>
        <w:t xml:space="preserve"> vil oppfordre tidligere IA-virksomheter til å videreføre</w:t>
      </w:r>
      <w:r w:rsidR="001B6389">
        <w:rPr>
          <w:rFonts w:ascii="Open Sans" w:hAnsi="Open Sans"/>
          <w:sz w:val="21"/>
        </w:rPr>
        <w:t xml:space="preserve"> ordningen med utvidet rett til egenmelding. </w:t>
      </w:r>
      <w:r w:rsidR="002534F4" w:rsidRPr="002534F4">
        <w:rPr>
          <w:rFonts w:ascii="Open Sans" w:hAnsi="Open Sans"/>
          <w:sz w:val="21"/>
        </w:rPr>
        <w:t xml:space="preserve"> </w:t>
      </w:r>
      <w:r w:rsidR="00A254AC">
        <w:rPr>
          <w:rFonts w:ascii="Open Sans" w:hAnsi="Open Sans"/>
          <w:sz w:val="21"/>
        </w:rPr>
        <w:t xml:space="preserve">Organisasjonene vil oppfordre virksomheter som ikke tidligere har hatt </w:t>
      </w:r>
      <w:r w:rsidR="006631FF">
        <w:rPr>
          <w:rFonts w:ascii="Open Sans" w:hAnsi="Open Sans"/>
          <w:sz w:val="21"/>
        </w:rPr>
        <w:t>utvidet egenmelding til å vurdere denne ordningen</w:t>
      </w:r>
      <w:r w:rsidR="00A254AC">
        <w:rPr>
          <w:rFonts w:ascii="Open Sans" w:hAnsi="Open Sans"/>
          <w:sz w:val="21"/>
        </w:rPr>
        <w:t xml:space="preserve">. </w:t>
      </w:r>
      <w:r w:rsidR="00A32E04">
        <w:rPr>
          <w:rFonts w:ascii="Open Sans" w:hAnsi="Open Sans"/>
          <w:sz w:val="21"/>
        </w:rPr>
        <w:t xml:space="preserve"> </w:t>
      </w:r>
    </w:p>
    <w:p w:rsidR="009F00F6" w:rsidRPr="002534F4" w:rsidRDefault="009F00F6" w:rsidP="002534F4">
      <w:pPr>
        <w:rPr>
          <w:rFonts w:ascii="Open Sans" w:hAnsi="Open Sans"/>
          <w:sz w:val="21"/>
        </w:rPr>
      </w:pPr>
    </w:p>
    <w:p w:rsidR="005E528F" w:rsidRPr="0030639D" w:rsidRDefault="002534F4" w:rsidP="0030639D">
      <w:pPr>
        <w:rPr>
          <w:rFonts w:ascii="Open Sans" w:hAnsi="Open Sans"/>
          <w:sz w:val="21"/>
        </w:rPr>
      </w:pPr>
      <w:r w:rsidRPr="002534F4">
        <w:rPr>
          <w:rFonts w:ascii="Open Sans" w:hAnsi="Open Sans"/>
          <w:sz w:val="21"/>
        </w:rPr>
        <w:t xml:space="preserve">Partene og myndighetene vil ha oppmerksomhet rundt den lovfestede sykefraværsoppfølgingen og følge med på ny kunnskap og informasjon på området. Utviklingen av nye, digitale tjenester innenfor sykefraværsoppfølgingen gir bedre muligheter til å utnytte fleksibiliteten i dagens regelverk og </w:t>
      </w:r>
      <w:r w:rsidR="00395BB5">
        <w:rPr>
          <w:rFonts w:ascii="Open Sans" w:hAnsi="Open Sans"/>
          <w:sz w:val="21"/>
        </w:rPr>
        <w:t xml:space="preserve">å </w:t>
      </w:r>
      <w:proofErr w:type="spellStart"/>
      <w:r w:rsidRPr="002534F4">
        <w:rPr>
          <w:rFonts w:ascii="Open Sans" w:hAnsi="Open Sans"/>
          <w:sz w:val="21"/>
        </w:rPr>
        <w:t>målrette</w:t>
      </w:r>
      <w:proofErr w:type="spellEnd"/>
      <w:r w:rsidRPr="002534F4">
        <w:rPr>
          <w:rFonts w:ascii="Open Sans" w:hAnsi="Open Sans"/>
          <w:sz w:val="21"/>
        </w:rPr>
        <w:t xml:space="preserve"> innsatsen. Avtalepartene er opptatt av at fleksibiliteten i dagens regelverk utnyttes best mulig for å sikre en målrettet innsats mot lange og</w:t>
      </w:r>
      <w:r w:rsidR="0030639D">
        <w:rPr>
          <w:rFonts w:ascii="Open Sans" w:hAnsi="Open Sans"/>
          <w:sz w:val="21"/>
        </w:rPr>
        <w:t>/eller</w:t>
      </w:r>
      <w:r w:rsidRPr="002534F4">
        <w:rPr>
          <w:rFonts w:ascii="Open Sans" w:hAnsi="Open Sans"/>
          <w:sz w:val="21"/>
        </w:rPr>
        <w:t xml:space="preserve"> hyppig gjentagende sykefravær. Dette krever bl.a. at virksomhetene har god oversikt over den enkelte ansattes sykefravær og tar initiativ til tidlig dialogmøte 2 og dialogmøte 3 når dette er hensiktsmessig. Arbeids- og velferdsetaten skal sikre at slike møter avholdes når arbeidsgiver, arbeidstaker eller sykmelder ber om dette. </w:t>
      </w:r>
      <w:r w:rsidR="00D920E9">
        <w:rPr>
          <w:rFonts w:ascii="Open Sans" w:hAnsi="Open Sans"/>
          <w:sz w:val="21"/>
        </w:rPr>
        <w:t>I tilfeller hvor bedriftsintern tilrettelegging ikke fører frem, skal Arbeids- og velferdsetaten vurdere om arbeidsrettede tiltak skal prøves så tidlig som mulig.</w:t>
      </w:r>
    </w:p>
    <w:p w:rsidR="002534F4" w:rsidRPr="0095275A" w:rsidRDefault="002534F4" w:rsidP="00395BB5">
      <w:pPr>
        <w:pStyle w:val="Overskrift3"/>
        <w:rPr>
          <w:rFonts w:ascii="Open Sans" w:hAnsi="Open Sans" w:cs="Open Sans"/>
        </w:rPr>
      </w:pPr>
      <w:r w:rsidRPr="0095275A">
        <w:rPr>
          <w:rFonts w:ascii="Open Sans" w:hAnsi="Open Sans" w:cs="Open Sans"/>
        </w:rPr>
        <w:t>Bedre data- og kunnskapsgrunnlag</w:t>
      </w:r>
    </w:p>
    <w:p w:rsidR="00164FB3" w:rsidRDefault="002534F4" w:rsidP="002534F4">
      <w:pPr>
        <w:rPr>
          <w:rFonts w:ascii="Open Sans" w:hAnsi="Open Sans"/>
          <w:sz w:val="21"/>
        </w:rPr>
      </w:pPr>
      <w:r w:rsidRPr="002534F4">
        <w:rPr>
          <w:rFonts w:ascii="Open Sans" w:hAnsi="Open Sans"/>
          <w:sz w:val="21"/>
        </w:rPr>
        <w:t>IA-avtalen skal stimulere til kunnskapsutvikling innenfor innsatsområdene som er valgt for avtalen. Kunnskap om tiltak på arbeidsplassen og partssamarbeidet på arbeidsplassnivå skal også prioriteres. Det kan videre være behov for å utvikle et bedre data- og statistikkgrunnlag på bransje- og yrkesnivå innenfor IA-avtalens fokusområder, herunder sykefravær</w:t>
      </w:r>
      <w:r w:rsidR="0030639D">
        <w:rPr>
          <w:rFonts w:ascii="Open Sans" w:hAnsi="Open Sans"/>
          <w:sz w:val="21"/>
        </w:rPr>
        <w:t xml:space="preserve"> og egenmeldingsbruk</w:t>
      </w:r>
      <w:r w:rsidRPr="002534F4">
        <w:rPr>
          <w:rFonts w:ascii="Open Sans" w:hAnsi="Open Sans"/>
          <w:sz w:val="21"/>
        </w:rPr>
        <w:t xml:space="preserve">, frafall, arbeidsmiljø mv. </w:t>
      </w:r>
    </w:p>
    <w:p w:rsidR="00C23DC3" w:rsidRPr="00CA5EB7" w:rsidRDefault="00C23DC3" w:rsidP="002534F4">
      <w:pPr>
        <w:rPr>
          <w:rFonts w:ascii="Open Sans" w:hAnsi="Open Sans"/>
          <w:sz w:val="21"/>
        </w:rPr>
      </w:pPr>
    </w:p>
    <w:p w:rsidR="002534F4" w:rsidRPr="0095275A" w:rsidRDefault="521E4423" w:rsidP="00395BB5">
      <w:pPr>
        <w:pStyle w:val="Overskrift2"/>
        <w:rPr>
          <w:rFonts w:ascii="Open Sans" w:hAnsi="Open Sans" w:cs="Open Sans"/>
        </w:rPr>
      </w:pPr>
      <w:r w:rsidRPr="0095275A">
        <w:rPr>
          <w:rFonts w:ascii="Open Sans" w:hAnsi="Open Sans" w:cs="Open Sans"/>
        </w:rPr>
        <w:t>Virkemidler for prioriterte bransjer og sektorer</w:t>
      </w:r>
    </w:p>
    <w:p w:rsidR="002534F4" w:rsidRPr="00CA48CF" w:rsidRDefault="002534F4" w:rsidP="00164FB3">
      <w:pPr>
        <w:pStyle w:val="Overskrift3"/>
        <w:rPr>
          <w:rFonts w:ascii="Open Sans" w:hAnsi="Open Sans" w:cs="Open Sans"/>
        </w:rPr>
      </w:pPr>
      <w:r w:rsidRPr="00CA48CF">
        <w:rPr>
          <w:rFonts w:ascii="Open Sans" w:hAnsi="Open Sans" w:cs="Open Sans"/>
        </w:rPr>
        <w:t>Bransjeprogrammer</w:t>
      </w:r>
    </w:p>
    <w:p w:rsidR="00164FB3" w:rsidRDefault="521E4423" w:rsidP="521E4423">
      <w:pPr>
        <w:rPr>
          <w:rFonts w:ascii="Open Sans" w:hAnsi="Open Sans"/>
          <w:sz w:val="21"/>
          <w:szCs w:val="21"/>
        </w:rPr>
      </w:pPr>
      <w:r w:rsidRPr="521E4423">
        <w:rPr>
          <w:rFonts w:ascii="Open Sans" w:hAnsi="Open Sans"/>
          <w:sz w:val="21"/>
          <w:szCs w:val="21"/>
        </w:rPr>
        <w:t xml:space="preserve">Det etableres bransjeprogrammer i bransjer og sektorer hvor IA-partene er enige om å sette inn spisset og prioritert innsats for å støtte opp under målene for IA-avtalen. Partene og myndighetene skal sammen vurdere </w:t>
      </w:r>
      <w:proofErr w:type="gramStart"/>
      <w:r w:rsidRPr="521E4423">
        <w:rPr>
          <w:rFonts w:ascii="Open Sans" w:hAnsi="Open Sans"/>
          <w:sz w:val="21"/>
          <w:szCs w:val="21"/>
        </w:rPr>
        <w:t>og</w:t>
      </w:r>
      <w:proofErr w:type="gramEnd"/>
      <w:r w:rsidRPr="521E4423">
        <w:rPr>
          <w:rFonts w:ascii="Open Sans" w:hAnsi="Open Sans"/>
          <w:sz w:val="21"/>
          <w:szCs w:val="21"/>
        </w:rPr>
        <w:t xml:space="preserve"> komme frem til hvor mange og hvilke bransjer og sektorer, samt hensiktsmessig form på samarbeidet i de prioriterte bransjer og sektorer. </w:t>
      </w:r>
      <w:r w:rsidR="002534F4">
        <w:br/>
      </w:r>
    </w:p>
    <w:p w:rsidR="002534F4" w:rsidRDefault="002534F4" w:rsidP="002534F4">
      <w:pPr>
        <w:rPr>
          <w:rFonts w:ascii="Open Sans" w:hAnsi="Open Sans"/>
          <w:sz w:val="21"/>
        </w:rPr>
      </w:pPr>
      <w:r w:rsidRPr="002534F4">
        <w:rPr>
          <w:rFonts w:ascii="Open Sans" w:hAnsi="Open Sans"/>
          <w:sz w:val="21"/>
        </w:rPr>
        <w:t xml:space="preserve">De utvalgte bransjene bør komme fra både offentlig og privat sektor. Andre kriterier for utvelgelse av prioriterte bransjer og sektorer vil være potensial for å redusere </w:t>
      </w:r>
      <w:r w:rsidRPr="002534F4">
        <w:rPr>
          <w:rFonts w:ascii="Open Sans" w:hAnsi="Open Sans"/>
          <w:sz w:val="21"/>
        </w:rPr>
        <w:lastRenderedPageBreak/>
        <w:t xml:space="preserve">sykefravær og/eller frafall og bransjer som vurderes som særlig utsatt for omstilling. Bransjene skal pekes ut i første kvartal 2019, og bransjeprogrammene skal igangsettes </w:t>
      </w:r>
      <w:r w:rsidR="00164FB3">
        <w:rPr>
          <w:rFonts w:ascii="Open Sans" w:hAnsi="Open Sans"/>
          <w:sz w:val="21"/>
        </w:rPr>
        <w:t xml:space="preserve">i </w:t>
      </w:r>
      <w:r w:rsidRPr="002534F4">
        <w:rPr>
          <w:rFonts w:ascii="Open Sans" w:hAnsi="Open Sans"/>
          <w:sz w:val="21"/>
        </w:rPr>
        <w:t>andre kvartal 2019.</w:t>
      </w:r>
    </w:p>
    <w:p w:rsidR="006C33DB" w:rsidRPr="002534F4" w:rsidRDefault="006C33DB" w:rsidP="002534F4">
      <w:pPr>
        <w:rPr>
          <w:rFonts w:ascii="Open Sans" w:hAnsi="Open Sans"/>
          <w:sz w:val="21"/>
        </w:rPr>
      </w:pPr>
    </w:p>
    <w:p w:rsidR="000B054A" w:rsidRDefault="002534F4" w:rsidP="000B054A">
      <w:pPr>
        <w:rPr>
          <w:rFonts w:ascii="Open Sans" w:hAnsi="Open Sans"/>
          <w:sz w:val="21"/>
        </w:rPr>
      </w:pPr>
      <w:r w:rsidRPr="002534F4">
        <w:rPr>
          <w:rFonts w:ascii="Open Sans" w:hAnsi="Open Sans"/>
          <w:sz w:val="21"/>
        </w:rPr>
        <w:t xml:space="preserve">Partene og myndighetene er enige om å prioritere utvikling og evaluering av tiltak i de </w:t>
      </w:r>
      <w:proofErr w:type="spellStart"/>
      <w:r w:rsidRPr="002534F4">
        <w:rPr>
          <w:rFonts w:ascii="Open Sans" w:hAnsi="Open Sans"/>
          <w:sz w:val="21"/>
        </w:rPr>
        <w:t>bransjevise</w:t>
      </w:r>
      <w:proofErr w:type="spellEnd"/>
      <w:r w:rsidRPr="002534F4">
        <w:rPr>
          <w:rFonts w:ascii="Open Sans" w:hAnsi="Open Sans"/>
          <w:sz w:val="21"/>
        </w:rPr>
        <w:t xml:space="preserve"> satsingene</w:t>
      </w:r>
      <w:r w:rsidRPr="002534F4">
        <w:rPr>
          <w:rFonts w:ascii="Open Sans" w:hAnsi="Open Sans"/>
          <w:i/>
          <w:sz w:val="21"/>
        </w:rPr>
        <w:t xml:space="preserve"> </w:t>
      </w:r>
      <w:r w:rsidRPr="002534F4">
        <w:rPr>
          <w:rFonts w:ascii="Open Sans" w:hAnsi="Open Sans"/>
          <w:sz w:val="21"/>
        </w:rPr>
        <w:t>i regi av IA-avtalen og tiltak og virkemidler som støtter opp under målene for avtalen. Det skal legges til rette for at partene i bransjeprogrammene kan prøve ut ulike målrettede tiltak innenfor de valgte satsingsområdene</w:t>
      </w:r>
      <w:r w:rsidR="00164FB3">
        <w:rPr>
          <w:rFonts w:ascii="Open Sans" w:hAnsi="Open Sans"/>
          <w:sz w:val="21"/>
        </w:rPr>
        <w:t>:</w:t>
      </w:r>
      <w:r w:rsidRPr="002534F4">
        <w:rPr>
          <w:rFonts w:ascii="Open Sans" w:hAnsi="Open Sans"/>
          <w:sz w:val="21"/>
        </w:rPr>
        <w:t xml:space="preserve"> forebyggende arbeidsmiljøarbeid og oppfølging av lange</w:t>
      </w:r>
      <w:r w:rsidR="006C0757">
        <w:rPr>
          <w:rFonts w:ascii="Open Sans" w:hAnsi="Open Sans"/>
          <w:sz w:val="21"/>
        </w:rPr>
        <w:t xml:space="preserve"> og/eller hyppig</w:t>
      </w:r>
      <w:r w:rsidRPr="002534F4">
        <w:rPr>
          <w:rFonts w:ascii="Open Sans" w:hAnsi="Open Sans"/>
          <w:sz w:val="21"/>
        </w:rPr>
        <w:t xml:space="preserve"> gjentagende sykefravær. Det skal også settes i gang følgeforskni</w:t>
      </w:r>
      <w:r w:rsidR="006C0757">
        <w:rPr>
          <w:rFonts w:ascii="Open Sans" w:hAnsi="Open Sans"/>
          <w:sz w:val="21"/>
        </w:rPr>
        <w:t>ng og evalueringer av tiltakene</w:t>
      </w:r>
      <w:r w:rsidRPr="002534F4">
        <w:rPr>
          <w:rFonts w:ascii="Open Sans" w:hAnsi="Open Sans"/>
          <w:sz w:val="21"/>
        </w:rPr>
        <w:t xml:space="preserve"> på en slik måte at man får best mulig grunnlag for å vurdere virkning</w:t>
      </w:r>
      <w:r w:rsidR="00735D73">
        <w:rPr>
          <w:rFonts w:ascii="Open Sans" w:hAnsi="Open Sans"/>
          <w:sz w:val="21"/>
        </w:rPr>
        <w:t xml:space="preserve">er av de samlede virkemidlene. </w:t>
      </w:r>
    </w:p>
    <w:p w:rsidR="00CA5EB7" w:rsidRPr="00CA5EB7" w:rsidRDefault="00CA5EB7" w:rsidP="000B054A">
      <w:pPr>
        <w:rPr>
          <w:rFonts w:ascii="Open Sans" w:hAnsi="Open Sans"/>
          <w:sz w:val="21"/>
        </w:rPr>
      </w:pPr>
    </w:p>
    <w:p w:rsidR="002534F4" w:rsidRPr="0095275A" w:rsidRDefault="002534F4" w:rsidP="00164FB3">
      <w:pPr>
        <w:pStyle w:val="Overskrift2"/>
        <w:rPr>
          <w:rFonts w:ascii="Open Sans" w:hAnsi="Open Sans" w:cs="Open Sans"/>
        </w:rPr>
      </w:pPr>
      <w:r w:rsidRPr="0095275A">
        <w:rPr>
          <w:rFonts w:ascii="Open Sans" w:hAnsi="Open Sans" w:cs="Open Sans"/>
        </w:rPr>
        <w:t>Oppfølging av IA-avtalen</w:t>
      </w:r>
    </w:p>
    <w:p w:rsidR="006631FF" w:rsidRDefault="521E4423" w:rsidP="521E4423">
      <w:pPr>
        <w:rPr>
          <w:rFonts w:ascii="Open Sans" w:hAnsi="Open Sans"/>
          <w:sz w:val="21"/>
          <w:szCs w:val="21"/>
        </w:rPr>
      </w:pPr>
      <w:r w:rsidRPr="521E4423">
        <w:rPr>
          <w:rFonts w:ascii="Open Sans" w:hAnsi="Open Sans"/>
          <w:sz w:val="21"/>
          <w:szCs w:val="21"/>
        </w:rPr>
        <w:t xml:space="preserve">Partene ved Arbeidslivs- og </w:t>
      </w:r>
      <w:proofErr w:type="spellStart"/>
      <w:r w:rsidRPr="521E4423">
        <w:rPr>
          <w:rFonts w:ascii="Open Sans" w:hAnsi="Open Sans"/>
          <w:sz w:val="21"/>
          <w:szCs w:val="21"/>
        </w:rPr>
        <w:t>pensjonspolitisk</w:t>
      </w:r>
      <w:proofErr w:type="spellEnd"/>
      <w:r w:rsidRPr="521E4423">
        <w:rPr>
          <w:rFonts w:ascii="Open Sans" w:hAnsi="Open Sans"/>
          <w:sz w:val="21"/>
          <w:szCs w:val="21"/>
        </w:rPr>
        <w:t xml:space="preserve"> råd skal årlig, på bakgrunn av erfaringer og utviklingstrekk, vurdere oppnådde resultater for målene i avtalen. </w:t>
      </w:r>
      <w:r w:rsidR="002534F4">
        <w:br/>
      </w:r>
    </w:p>
    <w:p w:rsidR="002534F4" w:rsidRPr="002534F4" w:rsidRDefault="002534F4" w:rsidP="00F47E4A">
      <w:pPr>
        <w:rPr>
          <w:rFonts w:ascii="Open Sans" w:hAnsi="Open Sans"/>
          <w:sz w:val="21"/>
        </w:rPr>
      </w:pPr>
      <w:r w:rsidRPr="002534F4">
        <w:rPr>
          <w:rFonts w:ascii="Open Sans" w:hAnsi="Open Sans"/>
          <w:sz w:val="21"/>
        </w:rPr>
        <w:t xml:space="preserve">Dersom resultatene av IA-arbeidet utvikler seg i feil retning, vil myndighetene ta initiativ til drøftinger med partene i avtalen om hvilke justeringer som er nødvendige. </w:t>
      </w:r>
    </w:p>
    <w:p w:rsidR="000B054A" w:rsidRDefault="006A555F" w:rsidP="521E4423">
      <w:pPr>
        <w:spacing w:after="160" w:line="259" w:lineRule="auto"/>
        <w:jc w:val="center"/>
        <w:rPr>
          <w:rFonts w:ascii="Open Sans" w:hAnsi="Open Sans" w:cs="Open Sans"/>
        </w:rPr>
      </w:pPr>
      <w:r>
        <w:br w:type="page"/>
      </w:r>
      <w:r w:rsidR="521E4423" w:rsidRPr="521E4423">
        <w:rPr>
          <w:rFonts w:ascii="Open Sans" w:hAnsi="Open Sans" w:cs="Open Sans"/>
        </w:rPr>
        <w:lastRenderedPageBreak/>
        <w:t>Oslo 18. desember 2018</w:t>
      </w:r>
    </w:p>
    <w:p w:rsidR="00FB4EE3" w:rsidRPr="00FB4EE3" w:rsidRDefault="00FB4EE3" w:rsidP="00FB4EE3">
      <w:pPr>
        <w:spacing w:after="160" w:line="259" w:lineRule="auto"/>
        <w:jc w:val="center"/>
        <w:rPr>
          <w:rFonts w:ascii="Open Sans" w:hAnsi="Open Sans" w:cs="Open Sans"/>
        </w:rPr>
      </w:pPr>
    </w:p>
    <w:p w:rsidR="000B054A" w:rsidRPr="00FB4EE3" w:rsidRDefault="000B054A" w:rsidP="000B054A">
      <w:pPr>
        <w:spacing w:after="160" w:line="259" w:lineRule="auto"/>
        <w:jc w:val="center"/>
        <w:rPr>
          <w:rFonts w:ascii="Open Sans" w:hAnsi="Open Sans" w:cs="Open Sans"/>
        </w:rPr>
      </w:pPr>
    </w:p>
    <w:p w:rsidR="000B054A" w:rsidRPr="00FB4EE3" w:rsidRDefault="000B054A" w:rsidP="000B054A">
      <w:pPr>
        <w:spacing w:after="160" w:line="259" w:lineRule="auto"/>
        <w:jc w:val="center"/>
        <w:rPr>
          <w:rFonts w:ascii="Open Sans" w:hAnsi="Open Sans" w:cs="Open Sans"/>
        </w:rPr>
      </w:pPr>
      <w:r w:rsidRPr="00FB4EE3">
        <w:rPr>
          <w:rFonts w:ascii="Open Sans" w:hAnsi="Open Sans" w:cs="Open Sans"/>
        </w:rPr>
        <w:t>Regjeringen ved arbeids- og sosialministeren</w:t>
      </w:r>
    </w:p>
    <w:p w:rsidR="000B054A" w:rsidRPr="00FB4EE3" w:rsidRDefault="000B054A" w:rsidP="000B054A">
      <w:pPr>
        <w:spacing w:after="160" w:line="259" w:lineRule="auto"/>
        <w:jc w:val="center"/>
        <w:rPr>
          <w:rFonts w:ascii="Open Sans" w:hAnsi="Open Sans" w:cs="Open Sans"/>
        </w:rPr>
      </w:pPr>
    </w:p>
    <w:p w:rsidR="000B054A" w:rsidRPr="00FB4EE3" w:rsidRDefault="000B054A" w:rsidP="000B054A">
      <w:pPr>
        <w:spacing w:after="160" w:line="259" w:lineRule="auto"/>
        <w:jc w:val="center"/>
        <w:rPr>
          <w:rFonts w:ascii="Open Sans" w:hAnsi="Open Sans" w:cs="Open Sans"/>
        </w:rPr>
      </w:pPr>
    </w:p>
    <w:p w:rsidR="000B054A" w:rsidRPr="00FB4EE3" w:rsidRDefault="000B054A" w:rsidP="000B054A">
      <w:pPr>
        <w:spacing w:after="160" w:line="259" w:lineRule="auto"/>
        <w:jc w:val="center"/>
        <w:rPr>
          <w:rFonts w:ascii="Open Sans" w:hAnsi="Open Sans" w:cs="Open Sans"/>
        </w:rPr>
      </w:pPr>
    </w:p>
    <w:p w:rsidR="000B054A" w:rsidRPr="00FB4EE3" w:rsidRDefault="000B054A" w:rsidP="000B054A">
      <w:pPr>
        <w:spacing w:after="160" w:line="259" w:lineRule="auto"/>
        <w:jc w:val="center"/>
        <w:rPr>
          <w:rFonts w:ascii="Open Sans" w:hAnsi="Open Sans" w:cs="Open Sans"/>
        </w:rPr>
      </w:pPr>
    </w:p>
    <w:p w:rsidR="000B054A" w:rsidRPr="00FB4EE3" w:rsidRDefault="000B054A" w:rsidP="521E4423">
      <w:pPr>
        <w:spacing w:after="160" w:line="259" w:lineRule="auto"/>
        <w:rPr>
          <w:rFonts w:ascii="Open Sans" w:hAnsi="Open Sans" w:cs="Open Sans"/>
        </w:rPr>
      </w:pPr>
      <w:r w:rsidRPr="00FB4EE3">
        <w:rPr>
          <w:rFonts w:ascii="Open Sans" w:hAnsi="Open Sans" w:cs="Open Sans"/>
        </w:rPr>
        <w:t xml:space="preserve">Næringslivets </w:t>
      </w:r>
      <w:r w:rsidR="521E4423" w:rsidRPr="521E4423">
        <w:rPr>
          <w:rFonts w:ascii="Open Sans" w:hAnsi="Open Sans" w:cs="Open Sans"/>
        </w:rPr>
        <w:t>Hovedorganisasjon</w:t>
      </w:r>
      <w:r w:rsidRPr="00FB4EE3">
        <w:rPr>
          <w:rFonts w:ascii="Open Sans" w:hAnsi="Open Sans" w:cs="Open Sans"/>
        </w:rPr>
        <w:tab/>
      </w:r>
      <w:r w:rsidR="00993C65">
        <w:rPr>
          <w:rFonts w:ascii="Open Sans" w:hAnsi="Open Sans" w:cs="Open Sans"/>
        </w:rPr>
        <w:t xml:space="preserve">            </w:t>
      </w:r>
      <w:r w:rsidRPr="00FB4EE3">
        <w:rPr>
          <w:rFonts w:ascii="Open Sans" w:hAnsi="Open Sans" w:cs="Open Sans"/>
        </w:rPr>
        <w:t>Landsorganisasjonen i Norge</w:t>
      </w:r>
    </w:p>
    <w:p w:rsidR="000B054A" w:rsidRPr="00FB4EE3" w:rsidRDefault="000B054A" w:rsidP="000B054A">
      <w:pPr>
        <w:spacing w:after="160" w:line="259" w:lineRule="auto"/>
        <w:rPr>
          <w:rFonts w:ascii="Open Sans" w:hAnsi="Open Sans" w:cs="Open Sans"/>
        </w:rPr>
      </w:pPr>
    </w:p>
    <w:p w:rsidR="000B054A" w:rsidRPr="00FB4EE3" w:rsidRDefault="000B054A" w:rsidP="000B054A">
      <w:pPr>
        <w:spacing w:after="160" w:line="259" w:lineRule="auto"/>
        <w:rPr>
          <w:rFonts w:ascii="Open Sans" w:hAnsi="Open Sans" w:cs="Open Sans"/>
        </w:rPr>
      </w:pPr>
    </w:p>
    <w:p w:rsidR="000B054A" w:rsidRPr="00FB4EE3" w:rsidRDefault="000B054A" w:rsidP="000B054A">
      <w:pPr>
        <w:spacing w:after="160" w:line="259" w:lineRule="auto"/>
        <w:rPr>
          <w:rFonts w:ascii="Open Sans" w:hAnsi="Open Sans" w:cs="Open Sans"/>
        </w:rPr>
      </w:pPr>
    </w:p>
    <w:p w:rsidR="000B054A" w:rsidRPr="00FB4EE3" w:rsidRDefault="000B054A" w:rsidP="000B054A">
      <w:pPr>
        <w:spacing w:after="160" w:line="259" w:lineRule="auto"/>
        <w:rPr>
          <w:rFonts w:ascii="Open Sans" w:hAnsi="Open Sans" w:cs="Open Sans"/>
        </w:rPr>
      </w:pPr>
    </w:p>
    <w:p w:rsidR="000B054A" w:rsidRPr="00FB4EE3" w:rsidRDefault="000B054A" w:rsidP="000B054A">
      <w:pPr>
        <w:spacing w:after="160" w:line="259" w:lineRule="auto"/>
        <w:rPr>
          <w:rFonts w:ascii="Open Sans" w:hAnsi="Open Sans" w:cs="Open Sans"/>
        </w:rPr>
      </w:pPr>
      <w:r w:rsidRPr="00FB4EE3">
        <w:rPr>
          <w:rFonts w:ascii="Open Sans" w:hAnsi="Open Sans" w:cs="Open Sans"/>
        </w:rPr>
        <w:t>KS</w:t>
      </w:r>
      <w:r w:rsidRPr="00FB4EE3">
        <w:rPr>
          <w:rFonts w:ascii="Open Sans" w:hAnsi="Open Sans" w:cs="Open Sans"/>
        </w:rPr>
        <w:tab/>
      </w:r>
      <w:r w:rsidRPr="00FB4EE3">
        <w:rPr>
          <w:rFonts w:ascii="Open Sans" w:hAnsi="Open Sans" w:cs="Open Sans"/>
        </w:rPr>
        <w:tab/>
      </w:r>
      <w:r w:rsidRPr="00FB4EE3">
        <w:rPr>
          <w:rFonts w:ascii="Open Sans" w:hAnsi="Open Sans" w:cs="Open Sans"/>
        </w:rPr>
        <w:tab/>
      </w:r>
      <w:r w:rsidRPr="00FB4EE3">
        <w:rPr>
          <w:rFonts w:ascii="Open Sans" w:hAnsi="Open Sans" w:cs="Open Sans"/>
        </w:rPr>
        <w:tab/>
      </w:r>
      <w:r w:rsidRPr="00FB4EE3">
        <w:rPr>
          <w:rFonts w:ascii="Open Sans" w:hAnsi="Open Sans" w:cs="Open Sans"/>
        </w:rPr>
        <w:tab/>
      </w:r>
      <w:r w:rsidRPr="00FB4EE3">
        <w:rPr>
          <w:rFonts w:ascii="Open Sans" w:hAnsi="Open Sans" w:cs="Open Sans"/>
        </w:rPr>
        <w:tab/>
      </w:r>
      <w:r w:rsidRPr="00FB4EE3">
        <w:rPr>
          <w:rFonts w:ascii="Open Sans" w:hAnsi="Open Sans" w:cs="Open Sans"/>
        </w:rPr>
        <w:tab/>
      </w:r>
      <w:r w:rsidRPr="00FB4EE3">
        <w:rPr>
          <w:rFonts w:ascii="Open Sans" w:hAnsi="Open Sans" w:cs="Open Sans"/>
        </w:rPr>
        <w:tab/>
      </w:r>
      <w:r w:rsidRPr="00FB4EE3">
        <w:rPr>
          <w:rFonts w:ascii="Open Sans" w:hAnsi="Open Sans" w:cs="Open Sans"/>
        </w:rPr>
        <w:tab/>
      </w:r>
      <w:r w:rsidRPr="00FB4EE3">
        <w:rPr>
          <w:rFonts w:ascii="Open Sans" w:hAnsi="Open Sans" w:cs="Open Sans"/>
        </w:rPr>
        <w:tab/>
      </w:r>
      <w:r w:rsidRPr="00FB4EE3">
        <w:rPr>
          <w:rFonts w:ascii="Open Sans" w:hAnsi="Open Sans" w:cs="Open Sans"/>
        </w:rPr>
        <w:tab/>
      </w:r>
      <w:proofErr w:type="spellStart"/>
      <w:r w:rsidRPr="00FB4EE3">
        <w:rPr>
          <w:rFonts w:ascii="Open Sans" w:hAnsi="Open Sans" w:cs="Open Sans"/>
        </w:rPr>
        <w:t>Unio</w:t>
      </w:r>
      <w:proofErr w:type="spellEnd"/>
    </w:p>
    <w:p w:rsidR="000B054A" w:rsidRPr="00FB4EE3" w:rsidRDefault="000B054A" w:rsidP="000B054A">
      <w:pPr>
        <w:spacing w:after="160" w:line="259" w:lineRule="auto"/>
        <w:rPr>
          <w:rFonts w:ascii="Open Sans" w:hAnsi="Open Sans" w:cs="Open Sans"/>
        </w:rPr>
      </w:pPr>
    </w:p>
    <w:p w:rsidR="000B054A" w:rsidRPr="00FB4EE3" w:rsidRDefault="000B054A" w:rsidP="000B054A">
      <w:pPr>
        <w:spacing w:after="160" w:line="259" w:lineRule="auto"/>
        <w:rPr>
          <w:rFonts w:ascii="Open Sans" w:hAnsi="Open Sans" w:cs="Open Sans"/>
        </w:rPr>
      </w:pPr>
    </w:p>
    <w:p w:rsidR="000B054A" w:rsidRPr="00FB4EE3" w:rsidRDefault="000B054A" w:rsidP="000B054A">
      <w:pPr>
        <w:spacing w:after="160" w:line="259" w:lineRule="auto"/>
        <w:rPr>
          <w:rFonts w:ascii="Open Sans" w:hAnsi="Open Sans" w:cs="Open Sans"/>
        </w:rPr>
      </w:pPr>
    </w:p>
    <w:p w:rsidR="000B054A" w:rsidRPr="00FB4EE3" w:rsidRDefault="000B054A" w:rsidP="000B054A">
      <w:pPr>
        <w:spacing w:after="160" w:line="259" w:lineRule="auto"/>
        <w:rPr>
          <w:rFonts w:ascii="Open Sans" w:hAnsi="Open Sans" w:cs="Open Sans"/>
        </w:rPr>
      </w:pPr>
    </w:p>
    <w:p w:rsidR="000B054A" w:rsidRPr="00FB4EE3" w:rsidRDefault="000B054A" w:rsidP="000B054A">
      <w:pPr>
        <w:spacing w:after="160" w:line="259" w:lineRule="auto"/>
        <w:rPr>
          <w:rFonts w:ascii="Open Sans" w:hAnsi="Open Sans" w:cs="Open Sans"/>
        </w:rPr>
      </w:pPr>
      <w:r w:rsidRPr="00FB4EE3">
        <w:rPr>
          <w:rFonts w:ascii="Open Sans" w:hAnsi="Open Sans" w:cs="Open Sans"/>
        </w:rPr>
        <w:t>Hovedorganisasjonen Virke</w:t>
      </w:r>
      <w:r w:rsidRPr="00FB4EE3">
        <w:rPr>
          <w:rFonts w:ascii="Open Sans" w:hAnsi="Open Sans" w:cs="Open Sans"/>
        </w:rPr>
        <w:tab/>
      </w:r>
      <w:r w:rsidRPr="00FB4EE3">
        <w:rPr>
          <w:rFonts w:ascii="Open Sans" w:hAnsi="Open Sans" w:cs="Open Sans"/>
        </w:rPr>
        <w:tab/>
        <w:t>Yrkesorganisasjonenes Sentralforbund</w:t>
      </w:r>
      <w:r w:rsidRPr="00FB4EE3">
        <w:rPr>
          <w:rFonts w:ascii="Open Sans" w:hAnsi="Open Sans" w:cs="Open Sans"/>
        </w:rPr>
        <w:tab/>
      </w:r>
    </w:p>
    <w:p w:rsidR="000B054A" w:rsidRPr="00FB4EE3" w:rsidRDefault="000B054A" w:rsidP="000B054A">
      <w:pPr>
        <w:spacing w:after="160" w:line="259" w:lineRule="auto"/>
        <w:rPr>
          <w:rFonts w:ascii="Open Sans" w:hAnsi="Open Sans" w:cs="Open Sans"/>
        </w:rPr>
      </w:pPr>
    </w:p>
    <w:p w:rsidR="000B054A" w:rsidRPr="00FB4EE3" w:rsidRDefault="000B054A" w:rsidP="000B054A">
      <w:pPr>
        <w:spacing w:after="160" w:line="259" w:lineRule="auto"/>
        <w:rPr>
          <w:rFonts w:ascii="Open Sans" w:hAnsi="Open Sans" w:cs="Open Sans"/>
        </w:rPr>
      </w:pPr>
    </w:p>
    <w:p w:rsidR="000B054A" w:rsidRPr="00FB4EE3" w:rsidRDefault="000B054A" w:rsidP="000B054A">
      <w:pPr>
        <w:spacing w:after="160" w:line="259" w:lineRule="auto"/>
        <w:rPr>
          <w:rFonts w:ascii="Open Sans" w:hAnsi="Open Sans" w:cs="Open Sans"/>
        </w:rPr>
      </w:pPr>
    </w:p>
    <w:p w:rsidR="000B054A" w:rsidRPr="00FB4EE3" w:rsidRDefault="000B054A" w:rsidP="000B054A">
      <w:pPr>
        <w:spacing w:after="160" w:line="259" w:lineRule="auto"/>
        <w:rPr>
          <w:rFonts w:ascii="Open Sans" w:hAnsi="Open Sans" w:cs="Open Sans"/>
        </w:rPr>
      </w:pPr>
      <w:r w:rsidRPr="00FB4EE3">
        <w:rPr>
          <w:rFonts w:ascii="Open Sans" w:hAnsi="Open Sans" w:cs="Open Sans"/>
        </w:rPr>
        <w:t>Arbeidsgiverforeningen Spekter</w:t>
      </w:r>
      <w:r w:rsidRPr="00FB4EE3">
        <w:rPr>
          <w:rFonts w:ascii="Open Sans" w:hAnsi="Open Sans" w:cs="Open Sans"/>
        </w:rPr>
        <w:tab/>
      </w:r>
      <w:r w:rsidRPr="00FB4EE3">
        <w:rPr>
          <w:rFonts w:ascii="Open Sans" w:hAnsi="Open Sans" w:cs="Open Sans"/>
        </w:rPr>
        <w:tab/>
      </w:r>
      <w:r w:rsidRPr="00FB4EE3">
        <w:rPr>
          <w:rFonts w:ascii="Open Sans" w:hAnsi="Open Sans" w:cs="Open Sans"/>
        </w:rPr>
        <w:tab/>
      </w:r>
      <w:r w:rsidRPr="00FB4EE3">
        <w:rPr>
          <w:rFonts w:ascii="Open Sans" w:hAnsi="Open Sans" w:cs="Open Sans"/>
        </w:rPr>
        <w:tab/>
      </w:r>
      <w:r w:rsidRPr="00FB4EE3">
        <w:rPr>
          <w:rFonts w:ascii="Open Sans" w:hAnsi="Open Sans" w:cs="Open Sans"/>
        </w:rPr>
        <w:tab/>
      </w:r>
      <w:r w:rsidRPr="00FB4EE3">
        <w:rPr>
          <w:rFonts w:ascii="Open Sans" w:hAnsi="Open Sans" w:cs="Open Sans"/>
        </w:rPr>
        <w:tab/>
        <w:t>Akademikerne</w:t>
      </w:r>
    </w:p>
    <w:p w:rsidR="000B054A" w:rsidRPr="00FB4EE3" w:rsidRDefault="000B054A" w:rsidP="000B054A">
      <w:pPr>
        <w:spacing w:after="160" w:line="259" w:lineRule="auto"/>
        <w:rPr>
          <w:rFonts w:ascii="Open Sans" w:hAnsi="Open Sans" w:cs="Open Sans"/>
        </w:rPr>
      </w:pPr>
    </w:p>
    <w:p w:rsidR="000B054A" w:rsidRPr="00FB4EE3" w:rsidRDefault="000B054A" w:rsidP="000B054A">
      <w:pPr>
        <w:spacing w:after="160" w:line="259" w:lineRule="auto"/>
        <w:rPr>
          <w:rFonts w:ascii="Open Sans" w:hAnsi="Open Sans" w:cs="Open Sans"/>
        </w:rPr>
      </w:pPr>
    </w:p>
    <w:p w:rsidR="000B054A" w:rsidRPr="00FB4EE3" w:rsidRDefault="000B054A" w:rsidP="000B054A">
      <w:pPr>
        <w:spacing w:after="160" w:line="259" w:lineRule="auto"/>
        <w:rPr>
          <w:rFonts w:ascii="Open Sans" w:hAnsi="Open Sans" w:cs="Open Sans"/>
        </w:rPr>
      </w:pPr>
    </w:p>
    <w:p w:rsidR="000B054A" w:rsidRPr="00FB4EE3" w:rsidRDefault="000B054A" w:rsidP="000B054A">
      <w:pPr>
        <w:spacing w:after="160" w:line="259" w:lineRule="auto"/>
        <w:rPr>
          <w:rFonts w:ascii="Open Sans" w:hAnsi="Open Sans" w:cs="Open Sans"/>
        </w:rPr>
      </w:pPr>
    </w:p>
    <w:p w:rsidR="000B054A" w:rsidRPr="00FB4EE3" w:rsidRDefault="000B054A" w:rsidP="000B054A">
      <w:pPr>
        <w:spacing w:after="160" w:line="259" w:lineRule="auto"/>
        <w:rPr>
          <w:rFonts w:ascii="Open Sans" w:hAnsi="Open Sans" w:cs="Open Sans"/>
        </w:rPr>
      </w:pPr>
      <w:r w:rsidRPr="00FB4EE3">
        <w:rPr>
          <w:rFonts w:ascii="Open Sans" w:hAnsi="Open Sans" w:cs="Open Sans"/>
        </w:rPr>
        <w:t>Staten som arbeidsgiver ved kommunal- og moderniseringsministeren</w:t>
      </w:r>
    </w:p>
    <w:p w:rsidR="00747272" w:rsidRDefault="00747272">
      <w:pPr>
        <w:spacing w:after="160" w:line="259" w:lineRule="auto"/>
        <w:rPr>
          <w:rFonts w:ascii="Open Sans" w:hAnsi="Open Sans" w:cs="Open Sans"/>
          <w:b/>
        </w:rPr>
      </w:pPr>
      <w:r>
        <w:rPr>
          <w:rFonts w:ascii="Open Sans" w:hAnsi="Open Sans" w:cs="Open Sans"/>
          <w:b/>
        </w:rPr>
        <w:br w:type="page"/>
      </w:r>
    </w:p>
    <w:p w:rsidR="006A555F" w:rsidRPr="00FB4EE3" w:rsidRDefault="00CA3AC5" w:rsidP="000B054A">
      <w:pPr>
        <w:spacing w:after="160" w:line="259" w:lineRule="auto"/>
        <w:rPr>
          <w:rFonts w:ascii="Open Sans" w:hAnsi="Open Sans" w:cs="Open Sans"/>
          <w:b/>
        </w:rPr>
      </w:pPr>
      <w:r>
        <w:rPr>
          <w:rFonts w:ascii="Open Sans" w:hAnsi="Open Sans" w:cs="Open Sans"/>
          <w:b/>
        </w:rPr>
        <w:lastRenderedPageBreak/>
        <w:t>VEDLEGG</w:t>
      </w:r>
    </w:p>
    <w:p w:rsidR="006A555F" w:rsidRPr="00FB4EE3" w:rsidRDefault="006A555F" w:rsidP="006A555F">
      <w:pPr>
        <w:rPr>
          <w:rFonts w:ascii="Open Sans" w:hAnsi="Open Sans" w:cs="Open Sans"/>
        </w:rPr>
      </w:pPr>
    </w:p>
    <w:p w:rsidR="006A555F" w:rsidRPr="00FB4EE3" w:rsidRDefault="006A555F" w:rsidP="006A555F">
      <w:pPr>
        <w:rPr>
          <w:rFonts w:ascii="Open Sans" w:hAnsi="Open Sans" w:cs="Open Sans"/>
        </w:rPr>
      </w:pPr>
      <w:r w:rsidRPr="00FB4EE3">
        <w:rPr>
          <w:rFonts w:ascii="Open Sans" w:hAnsi="Open Sans" w:cs="Open Sans"/>
        </w:rPr>
        <w:t>Partene er enige om følgende prioriterin</w:t>
      </w:r>
      <w:r w:rsidR="0062366B">
        <w:rPr>
          <w:rFonts w:ascii="Open Sans" w:hAnsi="Open Sans" w:cs="Open Sans"/>
        </w:rPr>
        <w:t>g av ressurser til virkemidler</w:t>
      </w:r>
      <w:r w:rsidRPr="00FB4EE3">
        <w:rPr>
          <w:rFonts w:ascii="Open Sans" w:hAnsi="Open Sans" w:cs="Open Sans"/>
        </w:rPr>
        <w:t>:</w:t>
      </w:r>
    </w:p>
    <w:p w:rsidR="006A555F" w:rsidRPr="00FB4EE3" w:rsidRDefault="006A555F" w:rsidP="006A555F">
      <w:pPr>
        <w:rPr>
          <w:rFonts w:ascii="Open Sans" w:hAnsi="Open Sans" w:cs="Open Sans"/>
        </w:rPr>
      </w:pPr>
    </w:p>
    <w:tbl>
      <w:tblPr>
        <w:tblStyle w:val="Tabellrutenett"/>
        <w:tblW w:w="0" w:type="auto"/>
        <w:tblLook w:val="04A0" w:firstRow="1" w:lastRow="0" w:firstColumn="1" w:lastColumn="0" w:noHBand="0" w:noVBand="1"/>
      </w:tblPr>
      <w:tblGrid>
        <w:gridCol w:w="3964"/>
        <w:gridCol w:w="4395"/>
      </w:tblGrid>
      <w:tr w:rsidR="006A555F" w:rsidRPr="00FB4EE3" w:rsidTr="521E4423">
        <w:tc>
          <w:tcPr>
            <w:tcW w:w="3964" w:type="dxa"/>
            <w:tcBorders>
              <w:bottom w:val="nil"/>
            </w:tcBorders>
          </w:tcPr>
          <w:p w:rsidR="006A555F" w:rsidRPr="00FB4EE3" w:rsidRDefault="006A555F" w:rsidP="003A3D33">
            <w:pPr>
              <w:rPr>
                <w:rFonts w:ascii="Open Sans" w:hAnsi="Open Sans" w:cs="Open Sans"/>
                <w:b/>
              </w:rPr>
            </w:pPr>
          </w:p>
        </w:tc>
        <w:tc>
          <w:tcPr>
            <w:tcW w:w="4395" w:type="dxa"/>
            <w:tcBorders>
              <w:bottom w:val="nil"/>
            </w:tcBorders>
          </w:tcPr>
          <w:p w:rsidR="006A555F" w:rsidRPr="00FB4EE3" w:rsidRDefault="006A555F" w:rsidP="003A3D33">
            <w:pPr>
              <w:rPr>
                <w:rFonts w:ascii="Open Sans" w:hAnsi="Open Sans" w:cs="Open Sans"/>
                <w:b/>
              </w:rPr>
            </w:pPr>
          </w:p>
        </w:tc>
      </w:tr>
      <w:tr w:rsidR="006A555F" w:rsidRPr="00FB4EE3" w:rsidTr="521E4423">
        <w:tc>
          <w:tcPr>
            <w:tcW w:w="3964" w:type="dxa"/>
            <w:tcBorders>
              <w:top w:val="nil"/>
            </w:tcBorders>
          </w:tcPr>
          <w:p w:rsidR="006A555F" w:rsidRPr="00FB4EE3" w:rsidRDefault="006A555F" w:rsidP="003A3D33">
            <w:pPr>
              <w:rPr>
                <w:rFonts w:ascii="Open Sans" w:hAnsi="Open Sans" w:cs="Open Sans"/>
                <w:b/>
              </w:rPr>
            </w:pPr>
            <w:r w:rsidRPr="00FB4EE3">
              <w:rPr>
                <w:rFonts w:ascii="Open Sans" w:hAnsi="Open Sans" w:cs="Open Sans"/>
                <w:b/>
              </w:rPr>
              <w:t>Virkemidler</w:t>
            </w:r>
          </w:p>
        </w:tc>
        <w:tc>
          <w:tcPr>
            <w:tcW w:w="4395" w:type="dxa"/>
            <w:tcBorders>
              <w:top w:val="nil"/>
              <w:bottom w:val="single" w:sz="4" w:space="0" w:color="auto"/>
            </w:tcBorders>
          </w:tcPr>
          <w:p w:rsidR="006A555F" w:rsidRPr="00FB4EE3" w:rsidRDefault="006A555F" w:rsidP="003A3D33">
            <w:pPr>
              <w:rPr>
                <w:rFonts w:ascii="Open Sans" w:hAnsi="Open Sans" w:cs="Open Sans"/>
                <w:b/>
              </w:rPr>
            </w:pPr>
            <w:r w:rsidRPr="00FB4EE3">
              <w:rPr>
                <w:rFonts w:ascii="Open Sans" w:hAnsi="Open Sans" w:cs="Open Sans"/>
                <w:b/>
              </w:rPr>
              <w:t xml:space="preserve">Ressursramme </w:t>
            </w:r>
            <w:r w:rsidR="00164FB3">
              <w:rPr>
                <w:rFonts w:ascii="Open Sans" w:hAnsi="Open Sans" w:cs="Open Sans"/>
                <w:b/>
              </w:rPr>
              <w:t>2019</w:t>
            </w:r>
            <w:r w:rsidR="00993C65">
              <w:rPr>
                <w:rFonts w:ascii="Open Sans" w:hAnsi="Open Sans" w:cs="Open Sans"/>
                <w:b/>
              </w:rPr>
              <w:t>-</w:t>
            </w:r>
            <w:r w:rsidRPr="00FB4EE3">
              <w:rPr>
                <w:rFonts w:ascii="Open Sans" w:hAnsi="Open Sans" w:cs="Open Sans"/>
                <w:b/>
              </w:rPr>
              <w:t>2022</w:t>
            </w:r>
          </w:p>
          <w:p w:rsidR="006A555F" w:rsidRPr="00FB4EE3" w:rsidRDefault="006A555F" w:rsidP="003A3D33">
            <w:pPr>
              <w:rPr>
                <w:rFonts w:ascii="Open Sans" w:hAnsi="Open Sans" w:cs="Open Sans"/>
                <w:b/>
              </w:rPr>
            </w:pPr>
          </w:p>
        </w:tc>
      </w:tr>
      <w:tr w:rsidR="006A555F" w:rsidRPr="00FB4EE3" w:rsidTr="521E4423">
        <w:tc>
          <w:tcPr>
            <w:tcW w:w="3964" w:type="dxa"/>
          </w:tcPr>
          <w:p w:rsidR="006A555F" w:rsidRPr="00FB4EE3" w:rsidRDefault="006A555F" w:rsidP="003A3D33">
            <w:pPr>
              <w:rPr>
                <w:rFonts w:ascii="Open Sans" w:hAnsi="Open Sans" w:cs="Open Sans"/>
              </w:rPr>
            </w:pPr>
            <w:r w:rsidRPr="00FB4EE3">
              <w:rPr>
                <w:rFonts w:ascii="Open Sans" w:hAnsi="Open Sans" w:cs="Open Sans"/>
              </w:rPr>
              <w:t>Ny arbeidsmiljøsatsing</w:t>
            </w:r>
          </w:p>
        </w:tc>
        <w:tc>
          <w:tcPr>
            <w:tcW w:w="4395" w:type="dxa"/>
          </w:tcPr>
          <w:p w:rsidR="004C079E" w:rsidRPr="00FB4EE3" w:rsidRDefault="521E4423" w:rsidP="521E4423">
            <w:pPr>
              <w:rPr>
                <w:rFonts w:ascii="Open Sans" w:hAnsi="Open Sans" w:cs="Open Sans"/>
              </w:rPr>
            </w:pPr>
            <w:r w:rsidRPr="521E4423">
              <w:rPr>
                <w:rFonts w:ascii="Open Sans" w:hAnsi="Open Sans" w:cs="Open Sans"/>
              </w:rPr>
              <w:t>70 mill. kroner i 2019, deretter 50 mill. kroner årlig</w:t>
            </w:r>
          </w:p>
          <w:p w:rsidR="006A555F" w:rsidRPr="00FB4EE3" w:rsidRDefault="006A555F" w:rsidP="003A3D33">
            <w:pPr>
              <w:rPr>
                <w:rFonts w:ascii="Open Sans" w:hAnsi="Open Sans" w:cs="Open Sans"/>
              </w:rPr>
            </w:pPr>
          </w:p>
        </w:tc>
      </w:tr>
      <w:tr w:rsidR="006A555F" w:rsidRPr="00FB4EE3" w:rsidTr="521E4423">
        <w:tc>
          <w:tcPr>
            <w:tcW w:w="3964" w:type="dxa"/>
          </w:tcPr>
          <w:p w:rsidR="006A555F" w:rsidRPr="00FB4EE3" w:rsidRDefault="006A555F" w:rsidP="003A3D33">
            <w:pPr>
              <w:rPr>
                <w:rFonts w:ascii="Open Sans" w:hAnsi="Open Sans" w:cs="Open Sans"/>
              </w:rPr>
            </w:pPr>
            <w:r w:rsidRPr="00FB4EE3">
              <w:rPr>
                <w:rFonts w:ascii="Open Sans" w:hAnsi="Open Sans" w:cs="Open Sans"/>
              </w:rPr>
              <w:t>Koordinert arbeidslivstjeneste</w:t>
            </w:r>
          </w:p>
        </w:tc>
        <w:tc>
          <w:tcPr>
            <w:tcW w:w="4395" w:type="dxa"/>
          </w:tcPr>
          <w:p w:rsidR="006A555F" w:rsidRPr="00FB4EE3" w:rsidRDefault="006A555F" w:rsidP="003A3D33">
            <w:pPr>
              <w:rPr>
                <w:rFonts w:ascii="Open Sans" w:hAnsi="Open Sans" w:cs="Open Sans"/>
              </w:rPr>
            </w:pPr>
            <w:r w:rsidRPr="00FB4EE3">
              <w:rPr>
                <w:rFonts w:ascii="Open Sans" w:hAnsi="Open Sans" w:cs="Open Sans"/>
              </w:rPr>
              <w:t>Arbeidslivssentrene</w:t>
            </w:r>
          </w:p>
          <w:p w:rsidR="006A555F" w:rsidRPr="00FB4EE3" w:rsidRDefault="006A555F" w:rsidP="003A3D33">
            <w:pPr>
              <w:rPr>
                <w:rFonts w:ascii="Open Sans" w:hAnsi="Open Sans" w:cs="Open Sans"/>
              </w:rPr>
            </w:pPr>
          </w:p>
        </w:tc>
      </w:tr>
      <w:tr w:rsidR="006A555F" w:rsidRPr="00FB4EE3" w:rsidTr="521E4423">
        <w:tc>
          <w:tcPr>
            <w:tcW w:w="3964" w:type="dxa"/>
          </w:tcPr>
          <w:p w:rsidR="006A555F" w:rsidRPr="00FB4EE3" w:rsidRDefault="521E4423" w:rsidP="521E4423">
            <w:pPr>
              <w:rPr>
                <w:rFonts w:ascii="Open Sans" w:hAnsi="Open Sans" w:cs="Open Sans"/>
              </w:rPr>
            </w:pPr>
            <w:proofErr w:type="spellStart"/>
            <w:r w:rsidRPr="521E4423">
              <w:rPr>
                <w:rFonts w:ascii="Open Sans" w:hAnsi="Open Sans" w:cs="Open Sans"/>
              </w:rPr>
              <w:t>HelseIArbeid</w:t>
            </w:r>
            <w:proofErr w:type="spellEnd"/>
          </w:p>
          <w:p w:rsidR="006A555F" w:rsidRPr="00FB4EE3" w:rsidRDefault="006A555F" w:rsidP="003A3D33">
            <w:pPr>
              <w:rPr>
                <w:rFonts w:ascii="Open Sans" w:hAnsi="Open Sans" w:cs="Open Sans"/>
              </w:rPr>
            </w:pPr>
          </w:p>
        </w:tc>
        <w:tc>
          <w:tcPr>
            <w:tcW w:w="4395" w:type="dxa"/>
          </w:tcPr>
          <w:p w:rsidR="006A555F" w:rsidRPr="00FB4EE3" w:rsidRDefault="006A555F" w:rsidP="003A3D33">
            <w:pPr>
              <w:rPr>
                <w:rFonts w:ascii="Open Sans" w:hAnsi="Open Sans" w:cs="Open Sans"/>
              </w:rPr>
            </w:pPr>
            <w:r w:rsidRPr="00FB4EE3">
              <w:rPr>
                <w:rFonts w:ascii="Open Sans" w:hAnsi="Open Sans" w:cs="Open Sans"/>
              </w:rPr>
              <w:t>Arbeidslivssentrene</w:t>
            </w:r>
          </w:p>
        </w:tc>
      </w:tr>
      <w:tr w:rsidR="006A555F" w:rsidRPr="00FB4EE3" w:rsidTr="521E4423">
        <w:tc>
          <w:tcPr>
            <w:tcW w:w="3964" w:type="dxa"/>
          </w:tcPr>
          <w:p w:rsidR="006A555F" w:rsidRPr="00FB4EE3" w:rsidRDefault="006A555F" w:rsidP="003A3D33">
            <w:pPr>
              <w:rPr>
                <w:rFonts w:ascii="Open Sans" w:hAnsi="Open Sans" w:cs="Open Sans"/>
              </w:rPr>
            </w:pPr>
          </w:p>
          <w:p w:rsidR="006A555F" w:rsidRPr="00FB4EE3" w:rsidRDefault="006A555F" w:rsidP="005451E4">
            <w:pPr>
              <w:rPr>
                <w:rFonts w:ascii="Open Sans" w:hAnsi="Open Sans" w:cs="Open Sans"/>
              </w:rPr>
            </w:pPr>
            <w:r w:rsidRPr="00FB4EE3">
              <w:rPr>
                <w:rFonts w:ascii="Open Sans" w:hAnsi="Open Sans" w:cs="Open Sans"/>
              </w:rPr>
              <w:t xml:space="preserve">Nytt tilskudd </w:t>
            </w:r>
            <w:r w:rsidR="005451E4">
              <w:rPr>
                <w:rFonts w:ascii="Open Sans" w:hAnsi="Open Sans" w:cs="Open Sans"/>
              </w:rPr>
              <w:t>til ekspert</w:t>
            </w:r>
            <w:r w:rsidRPr="00FB4EE3">
              <w:rPr>
                <w:rFonts w:ascii="Open Sans" w:hAnsi="Open Sans" w:cs="Open Sans"/>
              </w:rPr>
              <w:t>bistand</w:t>
            </w:r>
          </w:p>
        </w:tc>
        <w:tc>
          <w:tcPr>
            <w:tcW w:w="4395" w:type="dxa"/>
          </w:tcPr>
          <w:p w:rsidR="006A555F" w:rsidRPr="00FB4EE3" w:rsidRDefault="006A555F" w:rsidP="003A3D33">
            <w:pPr>
              <w:rPr>
                <w:rFonts w:ascii="Open Sans" w:hAnsi="Open Sans" w:cs="Open Sans"/>
              </w:rPr>
            </w:pPr>
          </w:p>
          <w:p w:rsidR="006A555F" w:rsidRPr="00FB4EE3" w:rsidRDefault="006C0757" w:rsidP="003A3D33">
            <w:pPr>
              <w:rPr>
                <w:rFonts w:ascii="Open Sans" w:hAnsi="Open Sans" w:cs="Open Sans"/>
              </w:rPr>
            </w:pPr>
            <w:r>
              <w:rPr>
                <w:rFonts w:ascii="Open Sans" w:hAnsi="Open Sans" w:cs="Open Sans"/>
              </w:rPr>
              <w:t>50 mill. kroner årlig</w:t>
            </w:r>
          </w:p>
          <w:p w:rsidR="006A555F" w:rsidRPr="00FB4EE3" w:rsidRDefault="006A555F" w:rsidP="003A3D33">
            <w:pPr>
              <w:rPr>
                <w:rFonts w:ascii="Open Sans" w:hAnsi="Open Sans" w:cs="Open Sans"/>
              </w:rPr>
            </w:pPr>
          </w:p>
        </w:tc>
      </w:tr>
      <w:tr w:rsidR="006A555F" w:rsidRPr="00FB4EE3" w:rsidTr="521E4423">
        <w:tc>
          <w:tcPr>
            <w:tcW w:w="3964" w:type="dxa"/>
          </w:tcPr>
          <w:p w:rsidR="006A555F" w:rsidRPr="00FB4EE3" w:rsidRDefault="006A555F" w:rsidP="003A3D33">
            <w:pPr>
              <w:rPr>
                <w:rFonts w:ascii="Open Sans" w:hAnsi="Open Sans" w:cs="Open Sans"/>
              </w:rPr>
            </w:pPr>
            <w:r w:rsidRPr="00FB4EE3">
              <w:rPr>
                <w:rFonts w:ascii="Open Sans" w:hAnsi="Open Sans" w:cs="Open Sans"/>
              </w:rPr>
              <w:t>Kompetansetiltak - forsøk</w:t>
            </w:r>
          </w:p>
        </w:tc>
        <w:tc>
          <w:tcPr>
            <w:tcW w:w="4395" w:type="dxa"/>
          </w:tcPr>
          <w:p w:rsidR="006A555F" w:rsidRPr="00FB4EE3" w:rsidRDefault="006A555F" w:rsidP="003A3D33">
            <w:pPr>
              <w:rPr>
                <w:rFonts w:ascii="Open Sans" w:hAnsi="Open Sans" w:cs="Open Sans"/>
              </w:rPr>
            </w:pPr>
            <w:r w:rsidRPr="00FB4EE3">
              <w:rPr>
                <w:rFonts w:ascii="Open Sans" w:hAnsi="Open Sans" w:cs="Open Sans"/>
              </w:rPr>
              <w:t>70 mill.</w:t>
            </w:r>
            <w:r w:rsidR="00FB4EE3">
              <w:rPr>
                <w:rFonts w:ascii="Open Sans" w:hAnsi="Open Sans" w:cs="Open Sans"/>
              </w:rPr>
              <w:t xml:space="preserve"> </w:t>
            </w:r>
            <w:r w:rsidRPr="00FB4EE3">
              <w:rPr>
                <w:rFonts w:ascii="Open Sans" w:hAnsi="Open Sans" w:cs="Open Sans"/>
              </w:rPr>
              <w:t xml:space="preserve">kroner årlig </w:t>
            </w:r>
          </w:p>
          <w:p w:rsidR="006A555F" w:rsidRPr="00FB4EE3" w:rsidRDefault="006A555F" w:rsidP="003A3D33">
            <w:pPr>
              <w:rPr>
                <w:rFonts w:ascii="Open Sans" w:hAnsi="Open Sans" w:cs="Open Sans"/>
              </w:rPr>
            </w:pPr>
          </w:p>
        </w:tc>
      </w:tr>
      <w:tr w:rsidR="006A555F" w:rsidRPr="00FB4EE3" w:rsidTr="521E4423">
        <w:tc>
          <w:tcPr>
            <w:tcW w:w="3964" w:type="dxa"/>
          </w:tcPr>
          <w:p w:rsidR="006A555F" w:rsidRPr="00FB4EE3" w:rsidRDefault="006A555F" w:rsidP="003A3D33">
            <w:pPr>
              <w:rPr>
                <w:rFonts w:ascii="Open Sans" w:hAnsi="Open Sans" w:cs="Open Sans"/>
              </w:rPr>
            </w:pPr>
            <w:r w:rsidRPr="00FB4EE3">
              <w:rPr>
                <w:rFonts w:ascii="Open Sans" w:hAnsi="Open Sans" w:cs="Open Sans"/>
              </w:rPr>
              <w:t xml:space="preserve">Bransjeprogrammer, inkludert utvikling, forsøk, </w:t>
            </w:r>
            <w:r w:rsidR="005451E4">
              <w:rPr>
                <w:rFonts w:ascii="Open Sans" w:hAnsi="Open Sans" w:cs="Open Sans"/>
              </w:rPr>
              <w:t>følge</w:t>
            </w:r>
            <w:r w:rsidRPr="00FB4EE3">
              <w:rPr>
                <w:rFonts w:ascii="Open Sans" w:hAnsi="Open Sans" w:cs="Open Sans"/>
              </w:rPr>
              <w:t>evalueringer</w:t>
            </w:r>
          </w:p>
          <w:p w:rsidR="006A555F" w:rsidRPr="00FB4EE3" w:rsidRDefault="006A555F" w:rsidP="003A3D33">
            <w:pPr>
              <w:rPr>
                <w:rFonts w:ascii="Open Sans" w:hAnsi="Open Sans" w:cs="Open Sans"/>
              </w:rPr>
            </w:pPr>
          </w:p>
        </w:tc>
        <w:tc>
          <w:tcPr>
            <w:tcW w:w="4395" w:type="dxa"/>
          </w:tcPr>
          <w:p w:rsidR="006A555F" w:rsidRPr="00FB4EE3" w:rsidRDefault="521E4423" w:rsidP="521E4423">
            <w:pPr>
              <w:rPr>
                <w:rFonts w:ascii="Open Sans" w:hAnsi="Open Sans" w:cs="Open Sans"/>
              </w:rPr>
            </w:pPr>
            <w:r w:rsidRPr="521E4423">
              <w:rPr>
                <w:rFonts w:ascii="Open Sans" w:hAnsi="Open Sans" w:cs="Open Sans"/>
              </w:rPr>
              <w:t xml:space="preserve">60 mill. kroner i 2019, deretter 80 mill. kroner årlig </w:t>
            </w:r>
          </w:p>
        </w:tc>
      </w:tr>
      <w:tr w:rsidR="006A555F" w:rsidRPr="00FB4EE3" w:rsidTr="521E4423">
        <w:tc>
          <w:tcPr>
            <w:tcW w:w="3964" w:type="dxa"/>
          </w:tcPr>
          <w:p w:rsidR="006A555F" w:rsidRPr="00FB4EE3" w:rsidRDefault="006A555F" w:rsidP="003A3D33">
            <w:pPr>
              <w:rPr>
                <w:rFonts w:ascii="Open Sans" w:hAnsi="Open Sans" w:cs="Open Sans"/>
              </w:rPr>
            </w:pPr>
            <w:r w:rsidRPr="00FB4EE3">
              <w:rPr>
                <w:rFonts w:ascii="Open Sans" w:hAnsi="Open Sans" w:cs="Open Sans"/>
              </w:rPr>
              <w:t>Kunnskapsutvikling,</w:t>
            </w:r>
          </w:p>
          <w:p w:rsidR="006A555F" w:rsidRPr="00FB4EE3" w:rsidRDefault="003A1F2F" w:rsidP="003A3D33">
            <w:pPr>
              <w:rPr>
                <w:rFonts w:ascii="Open Sans" w:hAnsi="Open Sans" w:cs="Open Sans"/>
              </w:rPr>
            </w:pPr>
            <w:r>
              <w:rPr>
                <w:rFonts w:ascii="Open Sans" w:hAnsi="Open Sans" w:cs="Open Sans"/>
              </w:rPr>
              <w:t>K</w:t>
            </w:r>
            <w:r w:rsidR="006A555F" w:rsidRPr="00FB4EE3">
              <w:rPr>
                <w:rFonts w:ascii="Open Sans" w:hAnsi="Open Sans" w:cs="Open Sans"/>
              </w:rPr>
              <w:t>unnskapsgrunnlag</w:t>
            </w:r>
          </w:p>
          <w:p w:rsidR="006A555F" w:rsidRPr="00FB4EE3" w:rsidRDefault="006A555F" w:rsidP="003A3D33">
            <w:pPr>
              <w:rPr>
                <w:rFonts w:ascii="Open Sans" w:hAnsi="Open Sans" w:cs="Open Sans"/>
              </w:rPr>
            </w:pPr>
          </w:p>
        </w:tc>
        <w:tc>
          <w:tcPr>
            <w:tcW w:w="4395" w:type="dxa"/>
          </w:tcPr>
          <w:p w:rsidR="006A555F" w:rsidRPr="00FB4EE3" w:rsidRDefault="521E4423" w:rsidP="521E4423">
            <w:pPr>
              <w:rPr>
                <w:rFonts w:ascii="Open Sans" w:hAnsi="Open Sans" w:cs="Open Sans"/>
              </w:rPr>
            </w:pPr>
            <w:r w:rsidRPr="521E4423">
              <w:rPr>
                <w:rFonts w:ascii="Open Sans" w:hAnsi="Open Sans" w:cs="Open Sans"/>
              </w:rPr>
              <w:t xml:space="preserve">21 mill. kroner årlig </w:t>
            </w:r>
          </w:p>
        </w:tc>
      </w:tr>
      <w:tr w:rsidR="006A555F" w:rsidRPr="00FB4EE3" w:rsidTr="521E4423">
        <w:tc>
          <w:tcPr>
            <w:tcW w:w="3964" w:type="dxa"/>
          </w:tcPr>
          <w:p w:rsidR="006A555F" w:rsidRPr="00FB4EE3" w:rsidRDefault="00267CA6" w:rsidP="003A3D33">
            <w:pPr>
              <w:rPr>
                <w:rFonts w:ascii="Open Sans" w:hAnsi="Open Sans" w:cs="Open Sans"/>
              </w:rPr>
            </w:pPr>
            <w:r>
              <w:rPr>
                <w:rFonts w:ascii="Open Sans" w:hAnsi="Open Sans" w:cs="Open Sans"/>
              </w:rPr>
              <w:t>Utvikling kursmodul og utprøving</w:t>
            </w:r>
            <w:r w:rsidR="00C73542" w:rsidRPr="00FB4EE3">
              <w:rPr>
                <w:rFonts w:ascii="Open Sans" w:hAnsi="Open Sans" w:cs="Open Sans"/>
              </w:rPr>
              <w:t xml:space="preserve"> </w:t>
            </w:r>
            <w:r w:rsidR="006A555F" w:rsidRPr="00FB4EE3">
              <w:rPr>
                <w:rFonts w:ascii="Open Sans" w:hAnsi="Open Sans" w:cs="Open Sans"/>
              </w:rPr>
              <w:t>(SKIL)</w:t>
            </w:r>
          </w:p>
          <w:p w:rsidR="006A555F" w:rsidRPr="00FB4EE3" w:rsidRDefault="006A555F" w:rsidP="003A3D33">
            <w:pPr>
              <w:rPr>
                <w:rFonts w:ascii="Open Sans" w:hAnsi="Open Sans" w:cs="Open Sans"/>
              </w:rPr>
            </w:pPr>
          </w:p>
        </w:tc>
        <w:tc>
          <w:tcPr>
            <w:tcW w:w="4395" w:type="dxa"/>
          </w:tcPr>
          <w:p w:rsidR="006A555F" w:rsidRPr="00FB4EE3" w:rsidRDefault="521E4423" w:rsidP="521E4423">
            <w:pPr>
              <w:rPr>
                <w:rFonts w:ascii="Open Sans" w:hAnsi="Open Sans" w:cs="Open Sans"/>
              </w:rPr>
            </w:pPr>
            <w:r w:rsidRPr="521E4423">
              <w:rPr>
                <w:rFonts w:ascii="Open Sans" w:hAnsi="Open Sans" w:cs="Open Sans"/>
              </w:rPr>
              <w:t>Totalt 2 mill. kroner i 2019-2021</w:t>
            </w:r>
            <w:r w:rsidR="00340A47">
              <w:rPr>
                <w:rStyle w:val="Fotnotereferanse"/>
                <w:rFonts w:ascii="Open Sans" w:hAnsi="Open Sans" w:cs="Open Sans"/>
              </w:rPr>
              <w:footnoteReference w:id="2"/>
            </w:r>
            <w:r w:rsidRPr="521E4423">
              <w:rPr>
                <w:rFonts w:ascii="Open Sans" w:hAnsi="Open Sans" w:cs="Open Sans"/>
              </w:rPr>
              <w:t xml:space="preserve"> </w:t>
            </w:r>
          </w:p>
          <w:p w:rsidR="006A555F" w:rsidRPr="00FB4EE3" w:rsidRDefault="006A555F" w:rsidP="003A3D33">
            <w:pPr>
              <w:rPr>
                <w:rFonts w:ascii="Open Sans" w:hAnsi="Open Sans" w:cs="Open Sans"/>
              </w:rPr>
            </w:pPr>
          </w:p>
        </w:tc>
      </w:tr>
      <w:tr w:rsidR="006A555F" w:rsidRPr="00FB4EE3" w:rsidTr="521E4423">
        <w:tc>
          <w:tcPr>
            <w:tcW w:w="3964" w:type="dxa"/>
          </w:tcPr>
          <w:p w:rsidR="006A555F" w:rsidRPr="00FB4EE3" w:rsidRDefault="006A555F" w:rsidP="003A3D33">
            <w:pPr>
              <w:rPr>
                <w:rFonts w:ascii="Open Sans" w:hAnsi="Open Sans" w:cs="Open Sans"/>
              </w:rPr>
            </w:pPr>
            <w:r w:rsidRPr="00FB4EE3">
              <w:rPr>
                <w:rFonts w:ascii="Open Sans" w:hAnsi="Open Sans" w:cs="Open Sans"/>
              </w:rPr>
              <w:t>Opplæring i arbeidsmiljøarbeid</w:t>
            </w:r>
          </w:p>
          <w:p w:rsidR="006A555F" w:rsidRPr="00FB4EE3" w:rsidRDefault="006A555F" w:rsidP="003A3D33">
            <w:pPr>
              <w:rPr>
                <w:rFonts w:ascii="Open Sans" w:hAnsi="Open Sans" w:cs="Open Sans"/>
              </w:rPr>
            </w:pPr>
          </w:p>
        </w:tc>
        <w:tc>
          <w:tcPr>
            <w:tcW w:w="4395" w:type="dxa"/>
          </w:tcPr>
          <w:p w:rsidR="006A555F" w:rsidRPr="00FB4EE3" w:rsidRDefault="521E4423" w:rsidP="521E4423">
            <w:pPr>
              <w:rPr>
                <w:rFonts w:ascii="Open Sans" w:hAnsi="Open Sans" w:cs="Open Sans"/>
              </w:rPr>
            </w:pPr>
            <w:r w:rsidRPr="521E4423">
              <w:rPr>
                <w:rFonts w:ascii="Open Sans" w:hAnsi="Open Sans" w:cs="Open Sans"/>
              </w:rPr>
              <w:t xml:space="preserve">Årlig, dekkes av partene </w:t>
            </w:r>
          </w:p>
        </w:tc>
      </w:tr>
    </w:tbl>
    <w:p w:rsidR="006A555F" w:rsidRDefault="006A555F" w:rsidP="006A555F"/>
    <w:p w:rsidR="00DB505E" w:rsidRPr="005D7FE8" w:rsidRDefault="00DB505E" w:rsidP="005D7FE8"/>
    <w:sectPr w:rsidR="00DB505E" w:rsidRPr="005D7FE8">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2C4" w:rsidRDefault="007D62C4" w:rsidP="00031B50">
      <w:pPr>
        <w:spacing w:line="240" w:lineRule="auto"/>
      </w:pPr>
      <w:r>
        <w:separator/>
      </w:r>
    </w:p>
  </w:endnote>
  <w:endnote w:type="continuationSeparator" w:id="0">
    <w:p w:rsidR="007D62C4" w:rsidRDefault="007D62C4" w:rsidP="00031B50">
      <w:pPr>
        <w:spacing w:line="240" w:lineRule="auto"/>
      </w:pPr>
      <w:r>
        <w:continuationSeparator/>
      </w:r>
    </w:p>
  </w:endnote>
  <w:endnote w:type="continuationNotice" w:id="1">
    <w:p w:rsidR="007D62C4" w:rsidRDefault="007D62C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Open Sans">
    <w:altName w:val="Verdana"/>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2139208"/>
      <w:docPartObj>
        <w:docPartGallery w:val="Page Numbers (Bottom of Page)"/>
        <w:docPartUnique/>
      </w:docPartObj>
    </w:sdtPr>
    <w:sdtEndPr/>
    <w:sdtContent>
      <w:p w:rsidR="001B6389" w:rsidRDefault="001B6389">
        <w:pPr>
          <w:pStyle w:val="Bunntekst"/>
          <w:jc w:val="right"/>
        </w:pPr>
        <w:r w:rsidRPr="00DF5312">
          <w:rPr>
            <w:rFonts w:ascii="Open Sans" w:hAnsi="Open Sans" w:cs="Open Sans"/>
          </w:rPr>
          <w:fldChar w:fldCharType="begin"/>
        </w:r>
        <w:r w:rsidRPr="00DF5312">
          <w:rPr>
            <w:rFonts w:ascii="Open Sans" w:hAnsi="Open Sans" w:cs="Open Sans"/>
          </w:rPr>
          <w:instrText>PAGE   \* MERGEFORMAT</w:instrText>
        </w:r>
        <w:r w:rsidRPr="00DF5312">
          <w:rPr>
            <w:rFonts w:ascii="Open Sans" w:hAnsi="Open Sans" w:cs="Open Sans"/>
          </w:rPr>
          <w:fldChar w:fldCharType="separate"/>
        </w:r>
        <w:r w:rsidR="00280E64">
          <w:rPr>
            <w:rFonts w:ascii="Open Sans" w:hAnsi="Open Sans" w:cs="Open Sans"/>
            <w:noProof/>
          </w:rPr>
          <w:t>1</w:t>
        </w:r>
        <w:r w:rsidRPr="00DF5312">
          <w:rPr>
            <w:rFonts w:ascii="Open Sans" w:hAnsi="Open Sans" w:cs="Open Sans"/>
          </w:rPr>
          <w:fldChar w:fldCharType="end"/>
        </w:r>
      </w:p>
    </w:sdtContent>
  </w:sdt>
  <w:p w:rsidR="001B6389" w:rsidRDefault="001B6389">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2C4" w:rsidRDefault="007D62C4" w:rsidP="00031B50">
      <w:pPr>
        <w:spacing w:line="240" w:lineRule="auto"/>
      </w:pPr>
      <w:r>
        <w:separator/>
      </w:r>
    </w:p>
  </w:footnote>
  <w:footnote w:type="continuationSeparator" w:id="0">
    <w:p w:rsidR="007D62C4" w:rsidRDefault="007D62C4" w:rsidP="00031B50">
      <w:pPr>
        <w:spacing w:line="240" w:lineRule="auto"/>
      </w:pPr>
      <w:r>
        <w:continuationSeparator/>
      </w:r>
    </w:p>
  </w:footnote>
  <w:footnote w:type="continuationNotice" w:id="1">
    <w:p w:rsidR="007D62C4" w:rsidRDefault="007D62C4">
      <w:pPr>
        <w:spacing w:line="240" w:lineRule="auto"/>
      </w:pPr>
    </w:p>
  </w:footnote>
  <w:footnote w:id="2">
    <w:p w:rsidR="00340A47" w:rsidRPr="00340A47" w:rsidRDefault="00340A47">
      <w:pPr>
        <w:pStyle w:val="Fotnotetekst"/>
        <w:rPr>
          <w:rFonts w:ascii="Open Sans" w:hAnsi="Open Sans" w:cs="Open Sans"/>
        </w:rPr>
      </w:pPr>
      <w:r w:rsidRPr="00340A47">
        <w:rPr>
          <w:rStyle w:val="Fotnotereferanse"/>
          <w:rFonts w:ascii="Open Sans" w:hAnsi="Open Sans" w:cs="Open Sans"/>
        </w:rPr>
        <w:footnoteRef/>
      </w:r>
      <w:r w:rsidRPr="00340A47">
        <w:rPr>
          <w:rFonts w:ascii="Open Sans" w:hAnsi="Open Sans" w:cs="Open Sans"/>
        </w:rPr>
        <w:t xml:space="preserve"> Under forutsetning av at den økonomiske rammen er i tråd med statsstøtteregelverket.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35BA2"/>
    <w:multiLevelType w:val="hybridMultilevel"/>
    <w:tmpl w:val="420AD8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078952FC"/>
    <w:multiLevelType w:val="hybridMultilevel"/>
    <w:tmpl w:val="89482D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0D257643"/>
    <w:multiLevelType w:val="hybridMultilevel"/>
    <w:tmpl w:val="5FF0D2D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12EA3BF9"/>
    <w:multiLevelType w:val="hybridMultilevel"/>
    <w:tmpl w:val="EACAFBA6"/>
    <w:lvl w:ilvl="0" w:tplc="6ACEC2A0">
      <w:start w:val="1"/>
      <w:numFmt w:val="decimal"/>
      <w:lvlText w:val="%1."/>
      <w:lvlJc w:val="left"/>
      <w:pPr>
        <w:ind w:left="765" w:hanging="4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nsid w:val="150A5B11"/>
    <w:multiLevelType w:val="hybridMultilevel"/>
    <w:tmpl w:val="900CA0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165438C4"/>
    <w:multiLevelType w:val="hybridMultilevel"/>
    <w:tmpl w:val="CB3C41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1E0A2BF6"/>
    <w:multiLevelType w:val="hybridMultilevel"/>
    <w:tmpl w:val="5B649C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1E7A6645"/>
    <w:multiLevelType w:val="hybridMultilevel"/>
    <w:tmpl w:val="75D8498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nsid w:val="1FE00A0B"/>
    <w:multiLevelType w:val="hybridMultilevel"/>
    <w:tmpl w:val="F88A7F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24C42172"/>
    <w:multiLevelType w:val="hybridMultilevel"/>
    <w:tmpl w:val="952E7D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25556EEA"/>
    <w:multiLevelType w:val="hybridMultilevel"/>
    <w:tmpl w:val="8E82895E"/>
    <w:lvl w:ilvl="0" w:tplc="819A8938">
      <w:numFmt w:val="bullet"/>
      <w:lvlText w:val="-"/>
      <w:lvlJc w:val="left"/>
      <w:pPr>
        <w:ind w:left="720" w:hanging="360"/>
      </w:pPr>
      <w:rPr>
        <w:rFonts w:ascii="Arial" w:eastAsiaTheme="minorHAnsi" w:hAnsi="Arial" w:cs="Aria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1">
    <w:nsid w:val="29BA7A00"/>
    <w:multiLevelType w:val="hybridMultilevel"/>
    <w:tmpl w:val="9F6C66B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3BEE65C5"/>
    <w:multiLevelType w:val="hybridMultilevel"/>
    <w:tmpl w:val="10C82C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3E557388"/>
    <w:multiLevelType w:val="hybridMultilevel"/>
    <w:tmpl w:val="156AF5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nsid w:val="45F92580"/>
    <w:multiLevelType w:val="hybridMultilevel"/>
    <w:tmpl w:val="8EB647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nsid w:val="49F1622D"/>
    <w:multiLevelType w:val="hybridMultilevel"/>
    <w:tmpl w:val="5A14195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nsid w:val="4A403A03"/>
    <w:multiLevelType w:val="hybridMultilevel"/>
    <w:tmpl w:val="7A988C18"/>
    <w:lvl w:ilvl="0" w:tplc="C88C309E">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nsid w:val="4F1F2F74"/>
    <w:multiLevelType w:val="hybridMultilevel"/>
    <w:tmpl w:val="869ECC1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nsid w:val="52CA5F64"/>
    <w:multiLevelType w:val="hybridMultilevel"/>
    <w:tmpl w:val="FA1A3E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nsid w:val="5D5013F4"/>
    <w:multiLevelType w:val="hybridMultilevel"/>
    <w:tmpl w:val="4B22AE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nsid w:val="5DB000BA"/>
    <w:multiLevelType w:val="hybridMultilevel"/>
    <w:tmpl w:val="1BF4A836"/>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1">
    <w:nsid w:val="60380671"/>
    <w:multiLevelType w:val="hybridMultilevel"/>
    <w:tmpl w:val="7DBAD5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nsid w:val="65215E96"/>
    <w:multiLevelType w:val="hybridMultilevel"/>
    <w:tmpl w:val="F69ED1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nsid w:val="68705768"/>
    <w:multiLevelType w:val="hybridMultilevel"/>
    <w:tmpl w:val="EF66D77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nsid w:val="6BDD3CC0"/>
    <w:multiLevelType w:val="hybridMultilevel"/>
    <w:tmpl w:val="CCEE4F8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nsid w:val="6E8D6D0C"/>
    <w:multiLevelType w:val="hybridMultilevel"/>
    <w:tmpl w:val="8EDAAE5C"/>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6">
    <w:nsid w:val="74A10286"/>
    <w:multiLevelType w:val="hybridMultilevel"/>
    <w:tmpl w:val="69D22E0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nsid w:val="7633519D"/>
    <w:multiLevelType w:val="hybridMultilevel"/>
    <w:tmpl w:val="7C4000B8"/>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28">
    <w:nsid w:val="7B2936E3"/>
    <w:multiLevelType w:val="hybridMultilevel"/>
    <w:tmpl w:val="9F2E35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nsid w:val="7D1F59B5"/>
    <w:multiLevelType w:val="hybridMultilevel"/>
    <w:tmpl w:val="A20E684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6"/>
  </w:num>
  <w:num w:numId="2">
    <w:abstractNumId w:val="29"/>
  </w:num>
  <w:num w:numId="3">
    <w:abstractNumId w:val="24"/>
  </w:num>
  <w:num w:numId="4">
    <w:abstractNumId w:val="7"/>
  </w:num>
  <w:num w:numId="5">
    <w:abstractNumId w:val="26"/>
  </w:num>
  <w:num w:numId="6">
    <w:abstractNumId w:val="15"/>
  </w:num>
  <w:num w:numId="7">
    <w:abstractNumId w:val="11"/>
  </w:num>
  <w:num w:numId="8">
    <w:abstractNumId w:val="3"/>
  </w:num>
  <w:num w:numId="9">
    <w:abstractNumId w:val="20"/>
  </w:num>
  <w:num w:numId="10">
    <w:abstractNumId w:val="27"/>
  </w:num>
  <w:num w:numId="11">
    <w:abstractNumId w:val="13"/>
  </w:num>
  <w:num w:numId="12">
    <w:abstractNumId w:val="6"/>
  </w:num>
  <w:num w:numId="13">
    <w:abstractNumId w:val="21"/>
  </w:num>
  <w:num w:numId="14">
    <w:abstractNumId w:val="1"/>
  </w:num>
  <w:num w:numId="15">
    <w:abstractNumId w:val="18"/>
  </w:num>
  <w:num w:numId="16">
    <w:abstractNumId w:val="10"/>
  </w:num>
  <w:num w:numId="17">
    <w:abstractNumId w:val="9"/>
  </w:num>
  <w:num w:numId="18">
    <w:abstractNumId w:val="28"/>
  </w:num>
  <w:num w:numId="19">
    <w:abstractNumId w:val="12"/>
  </w:num>
  <w:num w:numId="20">
    <w:abstractNumId w:val="22"/>
  </w:num>
  <w:num w:numId="21">
    <w:abstractNumId w:val="4"/>
  </w:num>
  <w:num w:numId="22">
    <w:abstractNumId w:val="5"/>
  </w:num>
  <w:num w:numId="23">
    <w:abstractNumId w:val="25"/>
  </w:num>
  <w:num w:numId="24">
    <w:abstractNumId w:val="23"/>
  </w:num>
  <w:num w:numId="25">
    <w:abstractNumId w:val="8"/>
  </w:num>
  <w:num w:numId="26">
    <w:abstractNumId w:val="19"/>
  </w:num>
  <w:num w:numId="27">
    <w:abstractNumId w:val="14"/>
  </w:num>
  <w:num w:numId="28">
    <w:abstractNumId w:val="17"/>
  </w:num>
  <w:num w:numId="29">
    <w:abstractNumId w:val="2"/>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98"/>
    <w:rsid w:val="00001543"/>
    <w:rsid w:val="00003F0D"/>
    <w:rsid w:val="000174B3"/>
    <w:rsid w:val="00020BA0"/>
    <w:rsid w:val="00021E48"/>
    <w:rsid w:val="00021F5A"/>
    <w:rsid w:val="0002240C"/>
    <w:rsid w:val="00023072"/>
    <w:rsid w:val="00023961"/>
    <w:rsid w:val="00024A7A"/>
    <w:rsid w:val="000263D2"/>
    <w:rsid w:val="0003193E"/>
    <w:rsid w:val="00031B50"/>
    <w:rsid w:val="00033878"/>
    <w:rsid w:val="00034879"/>
    <w:rsid w:val="00034F81"/>
    <w:rsid w:val="00035B23"/>
    <w:rsid w:val="00037CFC"/>
    <w:rsid w:val="00043BC4"/>
    <w:rsid w:val="00046A4D"/>
    <w:rsid w:val="00052A46"/>
    <w:rsid w:val="00052EC0"/>
    <w:rsid w:val="00055513"/>
    <w:rsid w:val="00057A36"/>
    <w:rsid w:val="00057B8E"/>
    <w:rsid w:val="00062CCF"/>
    <w:rsid w:val="0006546D"/>
    <w:rsid w:val="00071198"/>
    <w:rsid w:val="000721AF"/>
    <w:rsid w:val="00072ADF"/>
    <w:rsid w:val="0008084D"/>
    <w:rsid w:val="00080BFD"/>
    <w:rsid w:val="00084FBA"/>
    <w:rsid w:val="000852A8"/>
    <w:rsid w:val="0009183B"/>
    <w:rsid w:val="000920A6"/>
    <w:rsid w:val="0009643D"/>
    <w:rsid w:val="000A177F"/>
    <w:rsid w:val="000A249A"/>
    <w:rsid w:val="000A442A"/>
    <w:rsid w:val="000B0019"/>
    <w:rsid w:val="000B054A"/>
    <w:rsid w:val="000B111D"/>
    <w:rsid w:val="000B1E14"/>
    <w:rsid w:val="000C25A5"/>
    <w:rsid w:val="000C59E1"/>
    <w:rsid w:val="000C5A5A"/>
    <w:rsid w:val="000D02FB"/>
    <w:rsid w:val="000D1974"/>
    <w:rsid w:val="000D6CF2"/>
    <w:rsid w:val="000E040D"/>
    <w:rsid w:val="00100910"/>
    <w:rsid w:val="00102747"/>
    <w:rsid w:val="00110557"/>
    <w:rsid w:val="0011169B"/>
    <w:rsid w:val="0011325E"/>
    <w:rsid w:val="0011364E"/>
    <w:rsid w:val="001156BC"/>
    <w:rsid w:val="0011615E"/>
    <w:rsid w:val="0011644F"/>
    <w:rsid w:val="001169ED"/>
    <w:rsid w:val="00126156"/>
    <w:rsid w:val="0013745B"/>
    <w:rsid w:val="00140A72"/>
    <w:rsid w:val="00152630"/>
    <w:rsid w:val="00153B52"/>
    <w:rsid w:val="00156385"/>
    <w:rsid w:val="00160C6B"/>
    <w:rsid w:val="001645B0"/>
    <w:rsid w:val="00164FB3"/>
    <w:rsid w:val="001669DF"/>
    <w:rsid w:val="001679E0"/>
    <w:rsid w:val="0017075A"/>
    <w:rsid w:val="00170C30"/>
    <w:rsid w:val="00173F46"/>
    <w:rsid w:val="00174EB9"/>
    <w:rsid w:val="00180088"/>
    <w:rsid w:val="0018206A"/>
    <w:rsid w:val="00183910"/>
    <w:rsid w:val="0018544A"/>
    <w:rsid w:val="00185523"/>
    <w:rsid w:val="001860C3"/>
    <w:rsid w:val="00191898"/>
    <w:rsid w:val="00193667"/>
    <w:rsid w:val="00195253"/>
    <w:rsid w:val="001A129E"/>
    <w:rsid w:val="001A1D15"/>
    <w:rsid w:val="001A24E0"/>
    <w:rsid w:val="001A4F78"/>
    <w:rsid w:val="001A73F0"/>
    <w:rsid w:val="001A774E"/>
    <w:rsid w:val="001B01B9"/>
    <w:rsid w:val="001B45BA"/>
    <w:rsid w:val="001B6389"/>
    <w:rsid w:val="001B7B83"/>
    <w:rsid w:val="001C20CB"/>
    <w:rsid w:val="001C45CA"/>
    <w:rsid w:val="001D0097"/>
    <w:rsid w:val="001D4F1C"/>
    <w:rsid w:val="001D60DA"/>
    <w:rsid w:val="001D6512"/>
    <w:rsid w:val="001F18D5"/>
    <w:rsid w:val="001F4EB3"/>
    <w:rsid w:val="001F58E7"/>
    <w:rsid w:val="001F6590"/>
    <w:rsid w:val="001F6A12"/>
    <w:rsid w:val="001F6CC9"/>
    <w:rsid w:val="00200BED"/>
    <w:rsid w:val="00203790"/>
    <w:rsid w:val="002045B8"/>
    <w:rsid w:val="00204AB4"/>
    <w:rsid w:val="00206650"/>
    <w:rsid w:val="0021011E"/>
    <w:rsid w:val="00211616"/>
    <w:rsid w:val="00211DFF"/>
    <w:rsid w:val="002128BB"/>
    <w:rsid w:val="00216F01"/>
    <w:rsid w:val="00217040"/>
    <w:rsid w:val="00222D6E"/>
    <w:rsid w:val="0022328E"/>
    <w:rsid w:val="0022409E"/>
    <w:rsid w:val="00224496"/>
    <w:rsid w:val="00227DF1"/>
    <w:rsid w:val="0023013B"/>
    <w:rsid w:val="002301E3"/>
    <w:rsid w:val="0023312F"/>
    <w:rsid w:val="00237CCF"/>
    <w:rsid w:val="002416C9"/>
    <w:rsid w:val="00243922"/>
    <w:rsid w:val="00245511"/>
    <w:rsid w:val="00245BCE"/>
    <w:rsid w:val="00247D77"/>
    <w:rsid w:val="002534F4"/>
    <w:rsid w:val="00267CA6"/>
    <w:rsid w:val="002713D1"/>
    <w:rsid w:val="00272010"/>
    <w:rsid w:val="002736B0"/>
    <w:rsid w:val="002743E9"/>
    <w:rsid w:val="0027486A"/>
    <w:rsid w:val="0028070C"/>
    <w:rsid w:val="00280E64"/>
    <w:rsid w:val="00287EF7"/>
    <w:rsid w:val="002952A0"/>
    <w:rsid w:val="00295B53"/>
    <w:rsid w:val="0029687E"/>
    <w:rsid w:val="00296F1B"/>
    <w:rsid w:val="002A4CFA"/>
    <w:rsid w:val="002A78F8"/>
    <w:rsid w:val="002B1299"/>
    <w:rsid w:val="002B12B2"/>
    <w:rsid w:val="002B54C9"/>
    <w:rsid w:val="002B5524"/>
    <w:rsid w:val="002B7070"/>
    <w:rsid w:val="002C435D"/>
    <w:rsid w:val="002C4AA4"/>
    <w:rsid w:val="002D097E"/>
    <w:rsid w:val="002D619B"/>
    <w:rsid w:val="002F339F"/>
    <w:rsid w:val="002F56DA"/>
    <w:rsid w:val="00305EC6"/>
    <w:rsid w:val="0030639D"/>
    <w:rsid w:val="00306659"/>
    <w:rsid w:val="00306E40"/>
    <w:rsid w:val="003118DA"/>
    <w:rsid w:val="00311DC0"/>
    <w:rsid w:val="003162F0"/>
    <w:rsid w:val="00317476"/>
    <w:rsid w:val="0031765E"/>
    <w:rsid w:val="0032204B"/>
    <w:rsid w:val="0032446F"/>
    <w:rsid w:val="003258D4"/>
    <w:rsid w:val="003278A4"/>
    <w:rsid w:val="00332BF0"/>
    <w:rsid w:val="00337723"/>
    <w:rsid w:val="00337E9D"/>
    <w:rsid w:val="003401D6"/>
    <w:rsid w:val="00340A47"/>
    <w:rsid w:val="00343C2A"/>
    <w:rsid w:val="0034632A"/>
    <w:rsid w:val="003474FD"/>
    <w:rsid w:val="00351B1C"/>
    <w:rsid w:val="00353B24"/>
    <w:rsid w:val="00354C90"/>
    <w:rsid w:val="003639DB"/>
    <w:rsid w:val="00364F26"/>
    <w:rsid w:val="00367AC6"/>
    <w:rsid w:val="00370B8B"/>
    <w:rsid w:val="003712CF"/>
    <w:rsid w:val="0037252F"/>
    <w:rsid w:val="00372FF2"/>
    <w:rsid w:val="00373699"/>
    <w:rsid w:val="00373DD0"/>
    <w:rsid w:val="00374340"/>
    <w:rsid w:val="00374F44"/>
    <w:rsid w:val="00375A89"/>
    <w:rsid w:val="00375F47"/>
    <w:rsid w:val="00380D38"/>
    <w:rsid w:val="00382F74"/>
    <w:rsid w:val="003937A0"/>
    <w:rsid w:val="00393D3E"/>
    <w:rsid w:val="00395BB5"/>
    <w:rsid w:val="00397249"/>
    <w:rsid w:val="003A0C50"/>
    <w:rsid w:val="003A1236"/>
    <w:rsid w:val="003A1F2F"/>
    <w:rsid w:val="003A4556"/>
    <w:rsid w:val="003A4F74"/>
    <w:rsid w:val="003A6173"/>
    <w:rsid w:val="003B0744"/>
    <w:rsid w:val="003B202E"/>
    <w:rsid w:val="003B314F"/>
    <w:rsid w:val="003B74BD"/>
    <w:rsid w:val="003C0EA3"/>
    <w:rsid w:val="003C123C"/>
    <w:rsid w:val="003C1F04"/>
    <w:rsid w:val="003C2C09"/>
    <w:rsid w:val="003D5323"/>
    <w:rsid w:val="003D536D"/>
    <w:rsid w:val="003D5399"/>
    <w:rsid w:val="003D5A1A"/>
    <w:rsid w:val="003D750B"/>
    <w:rsid w:val="003E2D0B"/>
    <w:rsid w:val="003E488F"/>
    <w:rsid w:val="003E4EB7"/>
    <w:rsid w:val="003E59B1"/>
    <w:rsid w:val="003E5F9E"/>
    <w:rsid w:val="003E7301"/>
    <w:rsid w:val="003F5FCD"/>
    <w:rsid w:val="003F6916"/>
    <w:rsid w:val="00400841"/>
    <w:rsid w:val="0041058F"/>
    <w:rsid w:val="00410ABA"/>
    <w:rsid w:val="004166CB"/>
    <w:rsid w:val="00422978"/>
    <w:rsid w:val="004251BC"/>
    <w:rsid w:val="00431A4A"/>
    <w:rsid w:val="004340F8"/>
    <w:rsid w:val="00434ACF"/>
    <w:rsid w:val="00435F34"/>
    <w:rsid w:val="00446132"/>
    <w:rsid w:val="0045303D"/>
    <w:rsid w:val="00453425"/>
    <w:rsid w:val="00464350"/>
    <w:rsid w:val="00467B07"/>
    <w:rsid w:val="00467CB9"/>
    <w:rsid w:val="0047096B"/>
    <w:rsid w:val="00470F13"/>
    <w:rsid w:val="00471F76"/>
    <w:rsid w:val="00476543"/>
    <w:rsid w:val="00476DB9"/>
    <w:rsid w:val="004801A5"/>
    <w:rsid w:val="00484536"/>
    <w:rsid w:val="00484541"/>
    <w:rsid w:val="00484FD0"/>
    <w:rsid w:val="00487F96"/>
    <w:rsid w:val="00491109"/>
    <w:rsid w:val="00492324"/>
    <w:rsid w:val="00494EDB"/>
    <w:rsid w:val="004A65D9"/>
    <w:rsid w:val="004B0C37"/>
    <w:rsid w:val="004C079E"/>
    <w:rsid w:val="004C1A58"/>
    <w:rsid w:val="004C2187"/>
    <w:rsid w:val="004C6686"/>
    <w:rsid w:val="004D13BB"/>
    <w:rsid w:val="004D156F"/>
    <w:rsid w:val="004E58BA"/>
    <w:rsid w:val="004E6DFB"/>
    <w:rsid w:val="004E7AF8"/>
    <w:rsid w:val="004F3271"/>
    <w:rsid w:val="004F332F"/>
    <w:rsid w:val="00500706"/>
    <w:rsid w:val="00501723"/>
    <w:rsid w:val="00506509"/>
    <w:rsid w:val="00506D52"/>
    <w:rsid w:val="0051065E"/>
    <w:rsid w:val="0051075C"/>
    <w:rsid w:val="0051485B"/>
    <w:rsid w:val="00515BAC"/>
    <w:rsid w:val="00515F7E"/>
    <w:rsid w:val="00520439"/>
    <w:rsid w:val="00523519"/>
    <w:rsid w:val="00524B87"/>
    <w:rsid w:val="00524DCE"/>
    <w:rsid w:val="0052792D"/>
    <w:rsid w:val="00534168"/>
    <w:rsid w:val="005344C3"/>
    <w:rsid w:val="00537B2C"/>
    <w:rsid w:val="005406AD"/>
    <w:rsid w:val="00540C47"/>
    <w:rsid w:val="00540CD6"/>
    <w:rsid w:val="0054143E"/>
    <w:rsid w:val="00545194"/>
    <w:rsid w:val="005451E4"/>
    <w:rsid w:val="00545F25"/>
    <w:rsid w:val="0054756F"/>
    <w:rsid w:val="0055006F"/>
    <w:rsid w:val="00562968"/>
    <w:rsid w:val="00563497"/>
    <w:rsid w:val="00563BF8"/>
    <w:rsid w:val="005651E0"/>
    <w:rsid w:val="0057411C"/>
    <w:rsid w:val="00580468"/>
    <w:rsid w:val="005817FE"/>
    <w:rsid w:val="005830A3"/>
    <w:rsid w:val="0058755D"/>
    <w:rsid w:val="00587D0A"/>
    <w:rsid w:val="00590743"/>
    <w:rsid w:val="005910F6"/>
    <w:rsid w:val="005942E3"/>
    <w:rsid w:val="00595787"/>
    <w:rsid w:val="005A6823"/>
    <w:rsid w:val="005B0FF5"/>
    <w:rsid w:val="005B31C7"/>
    <w:rsid w:val="005C1707"/>
    <w:rsid w:val="005C36D1"/>
    <w:rsid w:val="005C3EF2"/>
    <w:rsid w:val="005C697B"/>
    <w:rsid w:val="005D3BDD"/>
    <w:rsid w:val="005D58E7"/>
    <w:rsid w:val="005D5DCC"/>
    <w:rsid w:val="005D620A"/>
    <w:rsid w:val="005D72BA"/>
    <w:rsid w:val="005D7FE8"/>
    <w:rsid w:val="005E2B2B"/>
    <w:rsid w:val="005E40CF"/>
    <w:rsid w:val="005E528F"/>
    <w:rsid w:val="005E5627"/>
    <w:rsid w:val="005E6240"/>
    <w:rsid w:val="005E6436"/>
    <w:rsid w:val="005F06D9"/>
    <w:rsid w:val="005F21E5"/>
    <w:rsid w:val="005F2539"/>
    <w:rsid w:val="005F3D7C"/>
    <w:rsid w:val="005F575D"/>
    <w:rsid w:val="005F6818"/>
    <w:rsid w:val="00601320"/>
    <w:rsid w:val="0060430F"/>
    <w:rsid w:val="00604331"/>
    <w:rsid w:val="006064D1"/>
    <w:rsid w:val="00607B2F"/>
    <w:rsid w:val="0061008C"/>
    <w:rsid w:val="00610BBC"/>
    <w:rsid w:val="00610EC0"/>
    <w:rsid w:val="00614F16"/>
    <w:rsid w:val="006175A8"/>
    <w:rsid w:val="0062280F"/>
    <w:rsid w:val="0062366B"/>
    <w:rsid w:val="00625C0E"/>
    <w:rsid w:val="00633A49"/>
    <w:rsid w:val="00633BF2"/>
    <w:rsid w:val="00634457"/>
    <w:rsid w:val="006348A8"/>
    <w:rsid w:val="00635A14"/>
    <w:rsid w:val="00635CC8"/>
    <w:rsid w:val="006403DD"/>
    <w:rsid w:val="006433E0"/>
    <w:rsid w:val="0064426F"/>
    <w:rsid w:val="0064467F"/>
    <w:rsid w:val="006466BE"/>
    <w:rsid w:val="0065332C"/>
    <w:rsid w:val="00653782"/>
    <w:rsid w:val="00654A6C"/>
    <w:rsid w:val="006631FF"/>
    <w:rsid w:val="00663711"/>
    <w:rsid w:val="0066512B"/>
    <w:rsid w:val="00665644"/>
    <w:rsid w:val="00667C21"/>
    <w:rsid w:val="00670532"/>
    <w:rsid w:val="00673DF4"/>
    <w:rsid w:val="0067775B"/>
    <w:rsid w:val="006854D6"/>
    <w:rsid w:val="00691720"/>
    <w:rsid w:val="0069211D"/>
    <w:rsid w:val="006947EF"/>
    <w:rsid w:val="006A1C55"/>
    <w:rsid w:val="006A1F3C"/>
    <w:rsid w:val="006A2104"/>
    <w:rsid w:val="006A3E7B"/>
    <w:rsid w:val="006A4DE8"/>
    <w:rsid w:val="006A555F"/>
    <w:rsid w:val="006A70A6"/>
    <w:rsid w:val="006B022D"/>
    <w:rsid w:val="006B3257"/>
    <w:rsid w:val="006B5EE2"/>
    <w:rsid w:val="006C0757"/>
    <w:rsid w:val="006C2C09"/>
    <w:rsid w:val="006C33DB"/>
    <w:rsid w:val="006C5C66"/>
    <w:rsid w:val="006D127D"/>
    <w:rsid w:val="006D47C0"/>
    <w:rsid w:val="006D4A2E"/>
    <w:rsid w:val="006D54F5"/>
    <w:rsid w:val="006D69BA"/>
    <w:rsid w:val="006D78A7"/>
    <w:rsid w:val="006D7995"/>
    <w:rsid w:val="006E1C46"/>
    <w:rsid w:val="006E3C72"/>
    <w:rsid w:val="006F1171"/>
    <w:rsid w:val="006F1A7D"/>
    <w:rsid w:val="006F25C7"/>
    <w:rsid w:val="0070521B"/>
    <w:rsid w:val="00711CDD"/>
    <w:rsid w:val="00711E88"/>
    <w:rsid w:val="00712429"/>
    <w:rsid w:val="0071286A"/>
    <w:rsid w:val="00713CB8"/>
    <w:rsid w:val="007147AC"/>
    <w:rsid w:val="0071524C"/>
    <w:rsid w:val="00717B99"/>
    <w:rsid w:val="0072004F"/>
    <w:rsid w:val="0072165B"/>
    <w:rsid w:val="00722E80"/>
    <w:rsid w:val="007242EB"/>
    <w:rsid w:val="00724A31"/>
    <w:rsid w:val="007259C9"/>
    <w:rsid w:val="0073283A"/>
    <w:rsid w:val="00735A88"/>
    <w:rsid w:val="00735D73"/>
    <w:rsid w:val="00743970"/>
    <w:rsid w:val="0074555C"/>
    <w:rsid w:val="00747272"/>
    <w:rsid w:val="00750C2B"/>
    <w:rsid w:val="007533C9"/>
    <w:rsid w:val="00753B7A"/>
    <w:rsid w:val="00753BD9"/>
    <w:rsid w:val="00753E7F"/>
    <w:rsid w:val="00754A74"/>
    <w:rsid w:val="0075597F"/>
    <w:rsid w:val="00761875"/>
    <w:rsid w:val="007638E2"/>
    <w:rsid w:val="0076534C"/>
    <w:rsid w:val="0077279D"/>
    <w:rsid w:val="00772CBA"/>
    <w:rsid w:val="00773808"/>
    <w:rsid w:val="00773DAA"/>
    <w:rsid w:val="00774988"/>
    <w:rsid w:val="00776AF9"/>
    <w:rsid w:val="00781F32"/>
    <w:rsid w:val="00785C65"/>
    <w:rsid w:val="00786AD5"/>
    <w:rsid w:val="00786FA0"/>
    <w:rsid w:val="00791BAA"/>
    <w:rsid w:val="0079580C"/>
    <w:rsid w:val="00795F8B"/>
    <w:rsid w:val="007A6423"/>
    <w:rsid w:val="007A7CD3"/>
    <w:rsid w:val="007B20EE"/>
    <w:rsid w:val="007B2537"/>
    <w:rsid w:val="007B6D21"/>
    <w:rsid w:val="007C35ED"/>
    <w:rsid w:val="007D0A77"/>
    <w:rsid w:val="007D1EBC"/>
    <w:rsid w:val="007D62AD"/>
    <w:rsid w:val="007D62C4"/>
    <w:rsid w:val="007D73B3"/>
    <w:rsid w:val="007E00FD"/>
    <w:rsid w:val="007E254C"/>
    <w:rsid w:val="007E5F34"/>
    <w:rsid w:val="007E654D"/>
    <w:rsid w:val="007F3909"/>
    <w:rsid w:val="007F3A3F"/>
    <w:rsid w:val="007F6501"/>
    <w:rsid w:val="00801B4E"/>
    <w:rsid w:val="00805BBF"/>
    <w:rsid w:val="00807124"/>
    <w:rsid w:val="00807F1F"/>
    <w:rsid w:val="00810B21"/>
    <w:rsid w:val="00812152"/>
    <w:rsid w:val="008137AA"/>
    <w:rsid w:val="008157F8"/>
    <w:rsid w:val="00817F57"/>
    <w:rsid w:val="00820862"/>
    <w:rsid w:val="00822D9D"/>
    <w:rsid w:val="00826D35"/>
    <w:rsid w:val="00832A94"/>
    <w:rsid w:val="008369F0"/>
    <w:rsid w:val="008400D8"/>
    <w:rsid w:val="00842008"/>
    <w:rsid w:val="00843955"/>
    <w:rsid w:val="00846A73"/>
    <w:rsid w:val="00847F45"/>
    <w:rsid w:val="0085591B"/>
    <w:rsid w:val="00857DEA"/>
    <w:rsid w:val="00857EA2"/>
    <w:rsid w:val="00864505"/>
    <w:rsid w:val="0087073A"/>
    <w:rsid w:val="0087106B"/>
    <w:rsid w:val="00872B28"/>
    <w:rsid w:val="00875552"/>
    <w:rsid w:val="00880763"/>
    <w:rsid w:val="00891812"/>
    <w:rsid w:val="00892FDD"/>
    <w:rsid w:val="008934BE"/>
    <w:rsid w:val="00894FFE"/>
    <w:rsid w:val="008968CB"/>
    <w:rsid w:val="008A00BE"/>
    <w:rsid w:val="008B0C95"/>
    <w:rsid w:val="008B250A"/>
    <w:rsid w:val="008B4155"/>
    <w:rsid w:val="008B6512"/>
    <w:rsid w:val="008B7CE3"/>
    <w:rsid w:val="008C0362"/>
    <w:rsid w:val="008C0C24"/>
    <w:rsid w:val="008C1C89"/>
    <w:rsid w:val="008D0734"/>
    <w:rsid w:val="008D16E9"/>
    <w:rsid w:val="008D3E07"/>
    <w:rsid w:val="008D4F44"/>
    <w:rsid w:val="008E0391"/>
    <w:rsid w:val="008E3325"/>
    <w:rsid w:val="008E4B5E"/>
    <w:rsid w:val="008F2D7E"/>
    <w:rsid w:val="008F41F7"/>
    <w:rsid w:val="00904B38"/>
    <w:rsid w:val="00904F8E"/>
    <w:rsid w:val="0091020F"/>
    <w:rsid w:val="00923C3F"/>
    <w:rsid w:val="00926F4C"/>
    <w:rsid w:val="0093115E"/>
    <w:rsid w:val="00932098"/>
    <w:rsid w:val="00937F85"/>
    <w:rsid w:val="009418C6"/>
    <w:rsid w:val="0094374F"/>
    <w:rsid w:val="0094399C"/>
    <w:rsid w:val="00945A03"/>
    <w:rsid w:val="00945EAE"/>
    <w:rsid w:val="0095275A"/>
    <w:rsid w:val="00953D47"/>
    <w:rsid w:val="009576E6"/>
    <w:rsid w:val="00961721"/>
    <w:rsid w:val="00961882"/>
    <w:rsid w:val="00970A22"/>
    <w:rsid w:val="0097487D"/>
    <w:rsid w:val="0097693E"/>
    <w:rsid w:val="00981F9B"/>
    <w:rsid w:val="00982661"/>
    <w:rsid w:val="0098414A"/>
    <w:rsid w:val="00986C0E"/>
    <w:rsid w:val="00987DAF"/>
    <w:rsid w:val="00993977"/>
    <w:rsid w:val="00993C65"/>
    <w:rsid w:val="009A147B"/>
    <w:rsid w:val="009A1592"/>
    <w:rsid w:val="009A35E1"/>
    <w:rsid w:val="009A361A"/>
    <w:rsid w:val="009A7345"/>
    <w:rsid w:val="009A7BA4"/>
    <w:rsid w:val="009C15EB"/>
    <w:rsid w:val="009C5A13"/>
    <w:rsid w:val="009C6EF9"/>
    <w:rsid w:val="009D2DA5"/>
    <w:rsid w:val="009D37D0"/>
    <w:rsid w:val="009D75C5"/>
    <w:rsid w:val="009E1964"/>
    <w:rsid w:val="009E5308"/>
    <w:rsid w:val="009E582D"/>
    <w:rsid w:val="009E6C38"/>
    <w:rsid w:val="009F00F6"/>
    <w:rsid w:val="00A00AEC"/>
    <w:rsid w:val="00A027FE"/>
    <w:rsid w:val="00A055D7"/>
    <w:rsid w:val="00A072F5"/>
    <w:rsid w:val="00A07E4F"/>
    <w:rsid w:val="00A13C36"/>
    <w:rsid w:val="00A15848"/>
    <w:rsid w:val="00A254AC"/>
    <w:rsid w:val="00A26995"/>
    <w:rsid w:val="00A30731"/>
    <w:rsid w:val="00A30FF5"/>
    <w:rsid w:val="00A3179F"/>
    <w:rsid w:val="00A32E04"/>
    <w:rsid w:val="00A41224"/>
    <w:rsid w:val="00A4460E"/>
    <w:rsid w:val="00A44C84"/>
    <w:rsid w:val="00A47AD0"/>
    <w:rsid w:val="00A47D80"/>
    <w:rsid w:val="00A53722"/>
    <w:rsid w:val="00A54650"/>
    <w:rsid w:val="00A60D10"/>
    <w:rsid w:val="00A60EA7"/>
    <w:rsid w:val="00A64146"/>
    <w:rsid w:val="00A67DB5"/>
    <w:rsid w:val="00A7037D"/>
    <w:rsid w:val="00A710D8"/>
    <w:rsid w:val="00A712B8"/>
    <w:rsid w:val="00A72FF4"/>
    <w:rsid w:val="00A7424A"/>
    <w:rsid w:val="00A76933"/>
    <w:rsid w:val="00A813D9"/>
    <w:rsid w:val="00A82851"/>
    <w:rsid w:val="00A8690F"/>
    <w:rsid w:val="00A86DEB"/>
    <w:rsid w:val="00A8755C"/>
    <w:rsid w:val="00A9381A"/>
    <w:rsid w:val="00A940D4"/>
    <w:rsid w:val="00AA19DB"/>
    <w:rsid w:val="00AA322D"/>
    <w:rsid w:val="00AA4AF8"/>
    <w:rsid w:val="00AB26C6"/>
    <w:rsid w:val="00AB7B6D"/>
    <w:rsid w:val="00AC0430"/>
    <w:rsid w:val="00AC1B04"/>
    <w:rsid w:val="00AC2B86"/>
    <w:rsid w:val="00AC630F"/>
    <w:rsid w:val="00AC74DC"/>
    <w:rsid w:val="00AC78F7"/>
    <w:rsid w:val="00AD1DA4"/>
    <w:rsid w:val="00AE06CF"/>
    <w:rsid w:val="00AE20FC"/>
    <w:rsid w:val="00AF043E"/>
    <w:rsid w:val="00AF150C"/>
    <w:rsid w:val="00AF610C"/>
    <w:rsid w:val="00B01834"/>
    <w:rsid w:val="00B112F2"/>
    <w:rsid w:val="00B328DA"/>
    <w:rsid w:val="00B35989"/>
    <w:rsid w:val="00B35C61"/>
    <w:rsid w:val="00B42FF1"/>
    <w:rsid w:val="00B43647"/>
    <w:rsid w:val="00B438FF"/>
    <w:rsid w:val="00B510C4"/>
    <w:rsid w:val="00B5547F"/>
    <w:rsid w:val="00B564DE"/>
    <w:rsid w:val="00B57287"/>
    <w:rsid w:val="00B60103"/>
    <w:rsid w:val="00B60D44"/>
    <w:rsid w:val="00B63A78"/>
    <w:rsid w:val="00B72677"/>
    <w:rsid w:val="00B74232"/>
    <w:rsid w:val="00B7434C"/>
    <w:rsid w:val="00B77037"/>
    <w:rsid w:val="00B87EE3"/>
    <w:rsid w:val="00B902CD"/>
    <w:rsid w:val="00B9719B"/>
    <w:rsid w:val="00BA2246"/>
    <w:rsid w:val="00BB5666"/>
    <w:rsid w:val="00BB608A"/>
    <w:rsid w:val="00BB78A5"/>
    <w:rsid w:val="00BC6796"/>
    <w:rsid w:val="00BD19CA"/>
    <w:rsid w:val="00BD46DE"/>
    <w:rsid w:val="00BD70B1"/>
    <w:rsid w:val="00BE1024"/>
    <w:rsid w:val="00BE1A92"/>
    <w:rsid w:val="00BE7FC9"/>
    <w:rsid w:val="00BF3B9F"/>
    <w:rsid w:val="00BF569D"/>
    <w:rsid w:val="00BF6247"/>
    <w:rsid w:val="00BF676D"/>
    <w:rsid w:val="00BF7289"/>
    <w:rsid w:val="00C007CB"/>
    <w:rsid w:val="00C103B8"/>
    <w:rsid w:val="00C13191"/>
    <w:rsid w:val="00C14AE5"/>
    <w:rsid w:val="00C1507B"/>
    <w:rsid w:val="00C23DC3"/>
    <w:rsid w:val="00C26658"/>
    <w:rsid w:val="00C30092"/>
    <w:rsid w:val="00C30698"/>
    <w:rsid w:val="00C313DC"/>
    <w:rsid w:val="00C31753"/>
    <w:rsid w:val="00C31982"/>
    <w:rsid w:val="00C37243"/>
    <w:rsid w:val="00C373F7"/>
    <w:rsid w:val="00C4521D"/>
    <w:rsid w:val="00C46132"/>
    <w:rsid w:val="00C47E61"/>
    <w:rsid w:val="00C53202"/>
    <w:rsid w:val="00C54475"/>
    <w:rsid w:val="00C57B75"/>
    <w:rsid w:val="00C60D2F"/>
    <w:rsid w:val="00C64DBC"/>
    <w:rsid w:val="00C66DBD"/>
    <w:rsid w:val="00C73542"/>
    <w:rsid w:val="00C82771"/>
    <w:rsid w:val="00C83121"/>
    <w:rsid w:val="00C8417A"/>
    <w:rsid w:val="00C87EE1"/>
    <w:rsid w:val="00C95359"/>
    <w:rsid w:val="00CA08AC"/>
    <w:rsid w:val="00CA3516"/>
    <w:rsid w:val="00CA3AC5"/>
    <w:rsid w:val="00CA48CF"/>
    <w:rsid w:val="00CA4EA1"/>
    <w:rsid w:val="00CA5EB7"/>
    <w:rsid w:val="00CA5FB5"/>
    <w:rsid w:val="00CB4622"/>
    <w:rsid w:val="00CB652F"/>
    <w:rsid w:val="00CC4A8C"/>
    <w:rsid w:val="00CC4BEA"/>
    <w:rsid w:val="00CC4C30"/>
    <w:rsid w:val="00CC5D5A"/>
    <w:rsid w:val="00CD22EC"/>
    <w:rsid w:val="00CE25D5"/>
    <w:rsid w:val="00CE2B3E"/>
    <w:rsid w:val="00CF0EB3"/>
    <w:rsid w:val="00CF2084"/>
    <w:rsid w:val="00CF4BED"/>
    <w:rsid w:val="00CF53FB"/>
    <w:rsid w:val="00CF7087"/>
    <w:rsid w:val="00CF72F1"/>
    <w:rsid w:val="00CF7E66"/>
    <w:rsid w:val="00D002C2"/>
    <w:rsid w:val="00D04B7C"/>
    <w:rsid w:val="00D07F67"/>
    <w:rsid w:val="00D1103F"/>
    <w:rsid w:val="00D136E7"/>
    <w:rsid w:val="00D1469C"/>
    <w:rsid w:val="00D15538"/>
    <w:rsid w:val="00D24321"/>
    <w:rsid w:val="00D25E24"/>
    <w:rsid w:val="00D26686"/>
    <w:rsid w:val="00D40BDE"/>
    <w:rsid w:val="00D440D4"/>
    <w:rsid w:val="00D447D5"/>
    <w:rsid w:val="00D57523"/>
    <w:rsid w:val="00D57FA2"/>
    <w:rsid w:val="00D62AA4"/>
    <w:rsid w:val="00D67ED7"/>
    <w:rsid w:val="00D70648"/>
    <w:rsid w:val="00D764DD"/>
    <w:rsid w:val="00D765C7"/>
    <w:rsid w:val="00D778DF"/>
    <w:rsid w:val="00D80E0F"/>
    <w:rsid w:val="00D86222"/>
    <w:rsid w:val="00D86688"/>
    <w:rsid w:val="00D875E8"/>
    <w:rsid w:val="00D91641"/>
    <w:rsid w:val="00D919CC"/>
    <w:rsid w:val="00D91BDD"/>
    <w:rsid w:val="00D920E9"/>
    <w:rsid w:val="00D92F87"/>
    <w:rsid w:val="00DA53AA"/>
    <w:rsid w:val="00DB4294"/>
    <w:rsid w:val="00DB505E"/>
    <w:rsid w:val="00DC6E61"/>
    <w:rsid w:val="00DC701F"/>
    <w:rsid w:val="00DC74EB"/>
    <w:rsid w:val="00DD0A20"/>
    <w:rsid w:val="00DD5604"/>
    <w:rsid w:val="00DD5BAB"/>
    <w:rsid w:val="00DD67EA"/>
    <w:rsid w:val="00DE086E"/>
    <w:rsid w:val="00DE2EC3"/>
    <w:rsid w:val="00DE4927"/>
    <w:rsid w:val="00DF0ABC"/>
    <w:rsid w:val="00DF5312"/>
    <w:rsid w:val="00E007F6"/>
    <w:rsid w:val="00E02722"/>
    <w:rsid w:val="00E064C4"/>
    <w:rsid w:val="00E07761"/>
    <w:rsid w:val="00E20B4F"/>
    <w:rsid w:val="00E2234D"/>
    <w:rsid w:val="00E2279E"/>
    <w:rsid w:val="00E22EB2"/>
    <w:rsid w:val="00E24B56"/>
    <w:rsid w:val="00E24B8F"/>
    <w:rsid w:val="00E35F48"/>
    <w:rsid w:val="00E47A36"/>
    <w:rsid w:val="00E54F66"/>
    <w:rsid w:val="00E57308"/>
    <w:rsid w:val="00E656E3"/>
    <w:rsid w:val="00E76B25"/>
    <w:rsid w:val="00E81B98"/>
    <w:rsid w:val="00E8680C"/>
    <w:rsid w:val="00E87696"/>
    <w:rsid w:val="00E902CC"/>
    <w:rsid w:val="00E90971"/>
    <w:rsid w:val="00E90B19"/>
    <w:rsid w:val="00E9103C"/>
    <w:rsid w:val="00E91F3D"/>
    <w:rsid w:val="00EC35A6"/>
    <w:rsid w:val="00EC74CA"/>
    <w:rsid w:val="00ED291B"/>
    <w:rsid w:val="00ED2D1B"/>
    <w:rsid w:val="00ED2E10"/>
    <w:rsid w:val="00ED2EF3"/>
    <w:rsid w:val="00ED502F"/>
    <w:rsid w:val="00ED54E0"/>
    <w:rsid w:val="00ED587E"/>
    <w:rsid w:val="00EE09C9"/>
    <w:rsid w:val="00EE12D9"/>
    <w:rsid w:val="00EE2F64"/>
    <w:rsid w:val="00EF0DC2"/>
    <w:rsid w:val="00EF2660"/>
    <w:rsid w:val="00EF40FF"/>
    <w:rsid w:val="00EF77AC"/>
    <w:rsid w:val="00EF7C77"/>
    <w:rsid w:val="00F02997"/>
    <w:rsid w:val="00F1182C"/>
    <w:rsid w:val="00F1249F"/>
    <w:rsid w:val="00F12BD4"/>
    <w:rsid w:val="00F14530"/>
    <w:rsid w:val="00F146CC"/>
    <w:rsid w:val="00F1588D"/>
    <w:rsid w:val="00F20504"/>
    <w:rsid w:val="00F21856"/>
    <w:rsid w:val="00F320A8"/>
    <w:rsid w:val="00F40123"/>
    <w:rsid w:val="00F41D6E"/>
    <w:rsid w:val="00F450A2"/>
    <w:rsid w:val="00F45435"/>
    <w:rsid w:val="00F45CE5"/>
    <w:rsid w:val="00F47E4A"/>
    <w:rsid w:val="00F501E4"/>
    <w:rsid w:val="00F50599"/>
    <w:rsid w:val="00F52403"/>
    <w:rsid w:val="00F52D63"/>
    <w:rsid w:val="00F53625"/>
    <w:rsid w:val="00F571EA"/>
    <w:rsid w:val="00F60579"/>
    <w:rsid w:val="00F64D00"/>
    <w:rsid w:val="00F6548D"/>
    <w:rsid w:val="00F65AB0"/>
    <w:rsid w:val="00F700CE"/>
    <w:rsid w:val="00F73B55"/>
    <w:rsid w:val="00F85C7A"/>
    <w:rsid w:val="00F86181"/>
    <w:rsid w:val="00F9670E"/>
    <w:rsid w:val="00F96A11"/>
    <w:rsid w:val="00F97C48"/>
    <w:rsid w:val="00FA2EC8"/>
    <w:rsid w:val="00FA7BD3"/>
    <w:rsid w:val="00FB45C1"/>
    <w:rsid w:val="00FB4EE3"/>
    <w:rsid w:val="00FC0723"/>
    <w:rsid w:val="00FC1AD1"/>
    <w:rsid w:val="00FC4BBD"/>
    <w:rsid w:val="00FC531B"/>
    <w:rsid w:val="00FD3BC7"/>
    <w:rsid w:val="00FD627B"/>
    <w:rsid w:val="00FD6D57"/>
    <w:rsid w:val="00FE0007"/>
    <w:rsid w:val="00FE2DEE"/>
    <w:rsid w:val="00FF0431"/>
    <w:rsid w:val="00FF206C"/>
    <w:rsid w:val="00FF40E7"/>
    <w:rsid w:val="521E4423"/>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FE8"/>
    <w:pPr>
      <w:spacing w:after="0" w:line="300" w:lineRule="atLeast"/>
    </w:pPr>
    <w:rPr>
      <w:rFonts w:ascii="Arial" w:hAnsi="Arial"/>
      <w:color w:val="000000" w:themeColor="text1"/>
    </w:rPr>
  </w:style>
  <w:style w:type="paragraph" w:styleId="Overskrift1">
    <w:name w:val="heading 1"/>
    <w:basedOn w:val="Normal"/>
    <w:next w:val="Normal"/>
    <w:link w:val="Overskrift1Tegn"/>
    <w:uiPriority w:val="9"/>
    <w:qFormat/>
    <w:rsid w:val="00EE12D9"/>
    <w:pPr>
      <w:keepNext/>
      <w:keepLines/>
      <w:spacing w:before="240" w:after="60"/>
      <w:outlineLvl w:val="0"/>
    </w:pPr>
    <w:rPr>
      <w:rFonts w:eastAsiaTheme="majorEastAsia" w:cstheme="majorBidi"/>
      <w:b/>
      <w:sz w:val="30"/>
      <w:szCs w:val="32"/>
    </w:rPr>
  </w:style>
  <w:style w:type="paragraph" w:styleId="Overskrift2">
    <w:name w:val="heading 2"/>
    <w:basedOn w:val="Normal"/>
    <w:next w:val="Normal"/>
    <w:link w:val="Overskrift2Tegn"/>
    <w:uiPriority w:val="9"/>
    <w:unhideWhenUsed/>
    <w:qFormat/>
    <w:rsid w:val="001D6512"/>
    <w:pPr>
      <w:keepNext/>
      <w:keepLines/>
      <w:spacing w:before="240" w:after="60"/>
      <w:outlineLvl w:val="1"/>
    </w:pPr>
    <w:rPr>
      <w:rFonts w:eastAsiaTheme="majorEastAsia" w:cstheme="majorBidi"/>
      <w:b/>
      <w:sz w:val="26"/>
      <w:szCs w:val="26"/>
    </w:rPr>
  </w:style>
  <w:style w:type="paragraph" w:styleId="Overskrift3">
    <w:name w:val="heading 3"/>
    <w:basedOn w:val="Normal"/>
    <w:next w:val="Normal"/>
    <w:link w:val="Overskrift3Tegn"/>
    <w:uiPriority w:val="9"/>
    <w:unhideWhenUsed/>
    <w:qFormat/>
    <w:rsid w:val="001D6512"/>
    <w:pPr>
      <w:keepNext/>
      <w:keepLines/>
      <w:spacing w:before="240" w:after="60"/>
      <w:outlineLvl w:val="2"/>
    </w:pPr>
    <w:rPr>
      <w:rFonts w:eastAsiaTheme="majorEastAsia" w:cstheme="majorBidi"/>
      <w:b/>
      <w:szCs w:val="24"/>
    </w:rPr>
  </w:style>
  <w:style w:type="paragraph" w:styleId="Overskrift4">
    <w:name w:val="heading 4"/>
    <w:basedOn w:val="Normal"/>
    <w:next w:val="Normal"/>
    <w:link w:val="Overskrift4Tegn"/>
    <w:uiPriority w:val="9"/>
    <w:unhideWhenUsed/>
    <w:qFormat/>
    <w:rsid w:val="001D6512"/>
    <w:pPr>
      <w:keepNext/>
      <w:keepLines/>
      <w:spacing w:before="240" w:after="60"/>
      <w:outlineLvl w:val="3"/>
    </w:pPr>
    <w:rPr>
      <w:rFonts w:eastAsiaTheme="majorEastAsia" w:cstheme="majorBidi"/>
      <w:b/>
      <w:i/>
      <w:iCs/>
    </w:rPr>
  </w:style>
  <w:style w:type="paragraph" w:styleId="Overskrift5">
    <w:name w:val="heading 5"/>
    <w:basedOn w:val="Normal"/>
    <w:next w:val="Normal"/>
    <w:link w:val="Overskrift5Tegn"/>
    <w:uiPriority w:val="9"/>
    <w:unhideWhenUsed/>
    <w:qFormat/>
    <w:rsid w:val="001D6512"/>
    <w:pPr>
      <w:keepNext/>
      <w:keepLines/>
      <w:spacing w:before="240" w:after="60"/>
      <w:outlineLvl w:val="4"/>
    </w:pPr>
    <w:rPr>
      <w:rFonts w:eastAsiaTheme="majorEastAsia" w:cstheme="majorBidi"/>
      <w:i/>
    </w:rPr>
  </w:style>
  <w:style w:type="paragraph" w:styleId="Overskrift6">
    <w:name w:val="heading 6"/>
    <w:basedOn w:val="Normal"/>
    <w:next w:val="Normal"/>
    <w:link w:val="Overskrift6Tegn"/>
    <w:uiPriority w:val="9"/>
    <w:unhideWhenUsed/>
    <w:qFormat/>
    <w:rsid w:val="001D6512"/>
    <w:pPr>
      <w:keepNext/>
      <w:keepLines/>
      <w:spacing w:before="240" w:after="60"/>
      <w:outlineLvl w:val="5"/>
    </w:pPr>
    <w:rPr>
      <w:rFonts w:eastAsiaTheme="majorEastAsia" w:cstheme="majorBidi"/>
      <w: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B60103"/>
    <w:pPr>
      <w:spacing w:after="0" w:line="240" w:lineRule="auto"/>
    </w:pPr>
    <w:rPr>
      <w:rFonts w:ascii="Arial" w:hAnsi="Arial"/>
      <w:color w:val="000000" w:themeColor="text1"/>
    </w:rPr>
  </w:style>
  <w:style w:type="character" w:customStyle="1" w:styleId="Overskrift1Tegn">
    <w:name w:val="Overskrift 1 Tegn"/>
    <w:basedOn w:val="Standardskriftforavsnitt"/>
    <w:link w:val="Overskrift1"/>
    <w:uiPriority w:val="9"/>
    <w:rsid w:val="00D875E8"/>
    <w:rPr>
      <w:rFonts w:ascii="Arial" w:eastAsiaTheme="majorEastAsia" w:hAnsi="Arial" w:cstheme="majorBidi"/>
      <w:b/>
      <w:color w:val="000000" w:themeColor="text1"/>
      <w:sz w:val="30"/>
      <w:szCs w:val="32"/>
    </w:rPr>
  </w:style>
  <w:style w:type="character" w:customStyle="1" w:styleId="Overskrift2Tegn">
    <w:name w:val="Overskrift 2 Tegn"/>
    <w:basedOn w:val="Standardskriftforavsnitt"/>
    <w:link w:val="Overskrift2"/>
    <w:uiPriority w:val="9"/>
    <w:rsid w:val="001D6512"/>
    <w:rPr>
      <w:rFonts w:ascii="Arial" w:eastAsiaTheme="majorEastAsia" w:hAnsi="Arial" w:cstheme="majorBidi"/>
      <w:b/>
      <w:color w:val="000000" w:themeColor="text1"/>
      <w:sz w:val="26"/>
      <w:szCs w:val="26"/>
    </w:rPr>
  </w:style>
  <w:style w:type="character" w:customStyle="1" w:styleId="Overskrift3Tegn">
    <w:name w:val="Overskrift 3 Tegn"/>
    <w:basedOn w:val="Standardskriftforavsnitt"/>
    <w:link w:val="Overskrift3"/>
    <w:uiPriority w:val="9"/>
    <w:rsid w:val="001D6512"/>
    <w:rPr>
      <w:rFonts w:ascii="Arial" w:eastAsiaTheme="majorEastAsia" w:hAnsi="Arial" w:cstheme="majorBidi"/>
      <w:b/>
      <w:color w:val="000000" w:themeColor="text1"/>
      <w:szCs w:val="24"/>
    </w:rPr>
  </w:style>
  <w:style w:type="character" w:customStyle="1" w:styleId="Overskrift4Tegn">
    <w:name w:val="Overskrift 4 Tegn"/>
    <w:basedOn w:val="Standardskriftforavsnitt"/>
    <w:link w:val="Overskrift4"/>
    <w:uiPriority w:val="9"/>
    <w:rsid w:val="001D6512"/>
    <w:rPr>
      <w:rFonts w:ascii="Arial" w:eastAsiaTheme="majorEastAsia" w:hAnsi="Arial" w:cstheme="majorBidi"/>
      <w:b/>
      <w:i/>
      <w:iCs/>
      <w:color w:val="000000" w:themeColor="text1"/>
    </w:rPr>
  </w:style>
  <w:style w:type="character" w:customStyle="1" w:styleId="Overskrift5Tegn">
    <w:name w:val="Overskrift 5 Tegn"/>
    <w:basedOn w:val="Standardskriftforavsnitt"/>
    <w:link w:val="Overskrift5"/>
    <w:uiPriority w:val="9"/>
    <w:rsid w:val="001D6512"/>
    <w:rPr>
      <w:rFonts w:ascii="Arial" w:eastAsiaTheme="majorEastAsia" w:hAnsi="Arial" w:cstheme="majorBidi"/>
      <w:i/>
      <w:color w:val="000000" w:themeColor="text1"/>
    </w:rPr>
  </w:style>
  <w:style w:type="character" w:customStyle="1" w:styleId="Overskrift6Tegn">
    <w:name w:val="Overskrift 6 Tegn"/>
    <w:basedOn w:val="Standardskriftforavsnitt"/>
    <w:link w:val="Overskrift6"/>
    <w:uiPriority w:val="9"/>
    <w:rsid w:val="001D6512"/>
    <w:rPr>
      <w:rFonts w:ascii="Arial" w:eastAsiaTheme="majorEastAsia" w:hAnsi="Arial" w:cstheme="majorBidi"/>
      <w:i/>
      <w:color w:val="000000" w:themeColor="text1"/>
    </w:rPr>
  </w:style>
  <w:style w:type="character" w:styleId="Utheving">
    <w:name w:val="Emphasis"/>
    <w:basedOn w:val="Standardskriftforavsnitt"/>
    <w:uiPriority w:val="20"/>
    <w:qFormat/>
    <w:rsid w:val="001D6512"/>
    <w:rPr>
      <w:rFonts w:ascii="Arial" w:hAnsi="Arial"/>
      <w:i/>
      <w:iCs/>
    </w:rPr>
  </w:style>
  <w:style w:type="character" w:styleId="Sterkutheving">
    <w:name w:val="Intense Emphasis"/>
    <w:basedOn w:val="Standardskriftforavsnitt"/>
    <w:uiPriority w:val="21"/>
    <w:qFormat/>
    <w:rsid w:val="001D6512"/>
    <w:rPr>
      <w:rFonts w:ascii="Arial" w:hAnsi="Arial"/>
      <w:i/>
      <w:iCs/>
      <w:color w:val="000000" w:themeColor="text1"/>
    </w:rPr>
  </w:style>
  <w:style w:type="character" w:styleId="Sterk">
    <w:name w:val="Strong"/>
    <w:basedOn w:val="Standardskriftforavsnitt"/>
    <w:uiPriority w:val="22"/>
    <w:qFormat/>
    <w:rsid w:val="001D6512"/>
    <w:rPr>
      <w:rFonts w:ascii="Arial" w:hAnsi="Arial"/>
      <w:b/>
      <w:bCs/>
    </w:rPr>
  </w:style>
  <w:style w:type="paragraph" w:styleId="Sterktsitat">
    <w:name w:val="Intense Quote"/>
    <w:basedOn w:val="Normal"/>
    <w:next w:val="Normal"/>
    <w:link w:val="SterktsitatTegn"/>
    <w:uiPriority w:val="30"/>
    <w:qFormat/>
    <w:rsid w:val="001D6512"/>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SterktsitatTegn">
    <w:name w:val="Sterkt sitat Tegn"/>
    <w:basedOn w:val="Standardskriftforavsnitt"/>
    <w:link w:val="Sterktsitat"/>
    <w:uiPriority w:val="30"/>
    <w:rsid w:val="001D6512"/>
    <w:rPr>
      <w:rFonts w:ascii="Arial" w:hAnsi="Arial"/>
      <w:i/>
      <w:iCs/>
      <w:color w:val="000000" w:themeColor="text1"/>
    </w:rPr>
  </w:style>
  <w:style w:type="character" w:styleId="Svakreferanse">
    <w:name w:val="Subtle Reference"/>
    <w:basedOn w:val="Standardskriftforavsnitt"/>
    <w:uiPriority w:val="31"/>
    <w:qFormat/>
    <w:rsid w:val="001D6512"/>
    <w:rPr>
      <w:smallCaps/>
      <w:color w:val="5A5A5A" w:themeColor="text1" w:themeTint="A5"/>
    </w:rPr>
  </w:style>
  <w:style w:type="character" w:styleId="Sterkreferanse">
    <w:name w:val="Intense Reference"/>
    <w:basedOn w:val="Standardskriftforavsnitt"/>
    <w:uiPriority w:val="32"/>
    <w:qFormat/>
    <w:rsid w:val="001D6512"/>
    <w:rPr>
      <w:rFonts w:ascii="Arial" w:hAnsi="Arial"/>
      <w:b/>
      <w:bCs/>
      <w:smallCaps/>
      <w:color w:val="000000" w:themeColor="text1"/>
      <w:spacing w:val="5"/>
    </w:rPr>
  </w:style>
  <w:style w:type="paragraph" w:styleId="Topptekst">
    <w:name w:val="header"/>
    <w:basedOn w:val="Normal"/>
    <w:link w:val="TopptekstTegn"/>
    <w:uiPriority w:val="99"/>
    <w:unhideWhenUsed/>
    <w:rsid w:val="00031B50"/>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031B50"/>
    <w:rPr>
      <w:rFonts w:ascii="Arial" w:hAnsi="Arial"/>
      <w:color w:val="000000" w:themeColor="text1"/>
    </w:rPr>
  </w:style>
  <w:style w:type="paragraph" w:styleId="Bunntekst">
    <w:name w:val="footer"/>
    <w:basedOn w:val="Normal"/>
    <w:link w:val="BunntekstTegn"/>
    <w:uiPriority w:val="99"/>
    <w:unhideWhenUsed/>
    <w:rsid w:val="00031B50"/>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031B50"/>
    <w:rPr>
      <w:rFonts w:ascii="Arial" w:hAnsi="Arial"/>
      <w:color w:val="000000" w:themeColor="text1"/>
    </w:rPr>
  </w:style>
  <w:style w:type="paragraph" w:styleId="Listeavsnitt">
    <w:name w:val="List Paragraph"/>
    <w:basedOn w:val="Normal"/>
    <w:link w:val="ListeavsnittTegn"/>
    <w:uiPriority w:val="34"/>
    <w:qFormat/>
    <w:rsid w:val="00071198"/>
    <w:pPr>
      <w:ind w:left="720"/>
      <w:contextualSpacing/>
    </w:pPr>
  </w:style>
  <w:style w:type="paragraph" w:styleId="Bobletekst">
    <w:name w:val="Balloon Text"/>
    <w:basedOn w:val="Normal"/>
    <w:link w:val="BobletekstTegn"/>
    <w:uiPriority w:val="99"/>
    <w:semiHidden/>
    <w:unhideWhenUsed/>
    <w:rsid w:val="00F40123"/>
    <w:pPr>
      <w:spacing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F40123"/>
    <w:rPr>
      <w:rFonts w:ascii="Segoe UI" w:hAnsi="Segoe UI" w:cs="Segoe UI"/>
      <w:color w:val="000000" w:themeColor="text1"/>
      <w:sz w:val="18"/>
      <w:szCs w:val="18"/>
    </w:rPr>
  </w:style>
  <w:style w:type="character" w:styleId="Merknadsreferanse">
    <w:name w:val="annotation reference"/>
    <w:basedOn w:val="Standardskriftforavsnitt"/>
    <w:uiPriority w:val="99"/>
    <w:semiHidden/>
    <w:unhideWhenUsed/>
    <w:rsid w:val="00DC701F"/>
    <w:rPr>
      <w:sz w:val="16"/>
      <w:szCs w:val="16"/>
    </w:rPr>
  </w:style>
  <w:style w:type="paragraph" w:styleId="Merknadstekst">
    <w:name w:val="annotation text"/>
    <w:basedOn w:val="Normal"/>
    <w:link w:val="MerknadstekstTegn"/>
    <w:uiPriority w:val="99"/>
    <w:unhideWhenUsed/>
    <w:rsid w:val="00DC701F"/>
    <w:pPr>
      <w:spacing w:line="240" w:lineRule="auto"/>
    </w:pPr>
    <w:rPr>
      <w:sz w:val="20"/>
      <w:szCs w:val="20"/>
    </w:rPr>
  </w:style>
  <w:style w:type="character" w:customStyle="1" w:styleId="MerknadstekstTegn">
    <w:name w:val="Merknadstekst Tegn"/>
    <w:basedOn w:val="Standardskriftforavsnitt"/>
    <w:link w:val="Merknadstekst"/>
    <w:uiPriority w:val="99"/>
    <w:rsid w:val="00DC701F"/>
    <w:rPr>
      <w:rFonts w:ascii="Arial" w:hAnsi="Arial"/>
      <w:color w:val="000000" w:themeColor="text1"/>
      <w:sz w:val="20"/>
      <w:szCs w:val="20"/>
    </w:rPr>
  </w:style>
  <w:style w:type="paragraph" w:styleId="Kommentaremne">
    <w:name w:val="annotation subject"/>
    <w:basedOn w:val="Merknadstekst"/>
    <w:next w:val="Merknadstekst"/>
    <w:link w:val="KommentaremneTegn"/>
    <w:uiPriority w:val="99"/>
    <w:semiHidden/>
    <w:unhideWhenUsed/>
    <w:rsid w:val="00DC701F"/>
    <w:rPr>
      <w:b/>
      <w:bCs/>
    </w:rPr>
  </w:style>
  <w:style w:type="character" w:customStyle="1" w:styleId="KommentaremneTegn">
    <w:name w:val="Kommentaremne Tegn"/>
    <w:basedOn w:val="MerknadstekstTegn"/>
    <w:link w:val="Kommentaremne"/>
    <w:uiPriority w:val="99"/>
    <w:semiHidden/>
    <w:rsid w:val="00DC701F"/>
    <w:rPr>
      <w:rFonts w:ascii="Arial" w:hAnsi="Arial"/>
      <w:b/>
      <w:bCs/>
      <w:color w:val="000000" w:themeColor="text1"/>
      <w:sz w:val="20"/>
      <w:szCs w:val="20"/>
    </w:rPr>
  </w:style>
  <w:style w:type="character" w:customStyle="1" w:styleId="ListeavsnittTegn">
    <w:name w:val="Listeavsnitt Tegn"/>
    <w:basedOn w:val="Standardskriftforavsnitt"/>
    <w:link w:val="Listeavsnitt"/>
    <w:uiPriority w:val="34"/>
    <w:locked/>
    <w:rsid w:val="00832A94"/>
    <w:rPr>
      <w:rFonts w:ascii="Arial" w:hAnsi="Arial"/>
      <w:color w:val="000000" w:themeColor="text1"/>
    </w:rPr>
  </w:style>
  <w:style w:type="table" w:styleId="Tabellrutenett">
    <w:name w:val="Table Grid"/>
    <w:basedOn w:val="Vanligtabell"/>
    <w:uiPriority w:val="39"/>
    <w:rsid w:val="006A5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etekst">
    <w:name w:val="footnote text"/>
    <w:basedOn w:val="Normal"/>
    <w:link w:val="FotnotetekstTegn"/>
    <w:uiPriority w:val="99"/>
    <w:semiHidden/>
    <w:unhideWhenUsed/>
    <w:rsid w:val="009C5A13"/>
    <w:pPr>
      <w:spacing w:line="240" w:lineRule="auto"/>
    </w:pPr>
    <w:rPr>
      <w:sz w:val="20"/>
      <w:szCs w:val="20"/>
    </w:rPr>
  </w:style>
  <w:style w:type="character" w:customStyle="1" w:styleId="FotnotetekstTegn">
    <w:name w:val="Fotnotetekst Tegn"/>
    <w:basedOn w:val="Standardskriftforavsnitt"/>
    <w:link w:val="Fotnotetekst"/>
    <w:uiPriority w:val="99"/>
    <w:semiHidden/>
    <w:rsid w:val="009C5A13"/>
    <w:rPr>
      <w:rFonts w:ascii="Arial" w:hAnsi="Arial"/>
      <w:color w:val="000000" w:themeColor="text1"/>
      <w:sz w:val="20"/>
      <w:szCs w:val="20"/>
    </w:rPr>
  </w:style>
  <w:style w:type="character" w:styleId="Fotnotereferanse">
    <w:name w:val="footnote reference"/>
    <w:basedOn w:val="Standardskriftforavsnitt"/>
    <w:uiPriority w:val="99"/>
    <w:semiHidden/>
    <w:unhideWhenUsed/>
    <w:rsid w:val="009C5A1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FE8"/>
    <w:pPr>
      <w:spacing w:after="0" w:line="300" w:lineRule="atLeast"/>
    </w:pPr>
    <w:rPr>
      <w:rFonts w:ascii="Arial" w:hAnsi="Arial"/>
      <w:color w:val="000000" w:themeColor="text1"/>
    </w:rPr>
  </w:style>
  <w:style w:type="paragraph" w:styleId="Overskrift1">
    <w:name w:val="heading 1"/>
    <w:basedOn w:val="Normal"/>
    <w:next w:val="Normal"/>
    <w:link w:val="Overskrift1Tegn"/>
    <w:uiPriority w:val="9"/>
    <w:qFormat/>
    <w:rsid w:val="00EE12D9"/>
    <w:pPr>
      <w:keepNext/>
      <w:keepLines/>
      <w:spacing w:before="240" w:after="60"/>
      <w:outlineLvl w:val="0"/>
    </w:pPr>
    <w:rPr>
      <w:rFonts w:eastAsiaTheme="majorEastAsia" w:cstheme="majorBidi"/>
      <w:b/>
      <w:sz w:val="30"/>
      <w:szCs w:val="32"/>
    </w:rPr>
  </w:style>
  <w:style w:type="paragraph" w:styleId="Overskrift2">
    <w:name w:val="heading 2"/>
    <w:basedOn w:val="Normal"/>
    <w:next w:val="Normal"/>
    <w:link w:val="Overskrift2Tegn"/>
    <w:uiPriority w:val="9"/>
    <w:unhideWhenUsed/>
    <w:qFormat/>
    <w:rsid w:val="001D6512"/>
    <w:pPr>
      <w:keepNext/>
      <w:keepLines/>
      <w:spacing w:before="240" w:after="60"/>
      <w:outlineLvl w:val="1"/>
    </w:pPr>
    <w:rPr>
      <w:rFonts w:eastAsiaTheme="majorEastAsia" w:cstheme="majorBidi"/>
      <w:b/>
      <w:sz w:val="26"/>
      <w:szCs w:val="26"/>
    </w:rPr>
  </w:style>
  <w:style w:type="paragraph" w:styleId="Overskrift3">
    <w:name w:val="heading 3"/>
    <w:basedOn w:val="Normal"/>
    <w:next w:val="Normal"/>
    <w:link w:val="Overskrift3Tegn"/>
    <w:uiPriority w:val="9"/>
    <w:unhideWhenUsed/>
    <w:qFormat/>
    <w:rsid w:val="001D6512"/>
    <w:pPr>
      <w:keepNext/>
      <w:keepLines/>
      <w:spacing w:before="240" w:after="60"/>
      <w:outlineLvl w:val="2"/>
    </w:pPr>
    <w:rPr>
      <w:rFonts w:eastAsiaTheme="majorEastAsia" w:cstheme="majorBidi"/>
      <w:b/>
      <w:szCs w:val="24"/>
    </w:rPr>
  </w:style>
  <w:style w:type="paragraph" w:styleId="Overskrift4">
    <w:name w:val="heading 4"/>
    <w:basedOn w:val="Normal"/>
    <w:next w:val="Normal"/>
    <w:link w:val="Overskrift4Tegn"/>
    <w:uiPriority w:val="9"/>
    <w:unhideWhenUsed/>
    <w:qFormat/>
    <w:rsid w:val="001D6512"/>
    <w:pPr>
      <w:keepNext/>
      <w:keepLines/>
      <w:spacing w:before="240" w:after="60"/>
      <w:outlineLvl w:val="3"/>
    </w:pPr>
    <w:rPr>
      <w:rFonts w:eastAsiaTheme="majorEastAsia" w:cstheme="majorBidi"/>
      <w:b/>
      <w:i/>
      <w:iCs/>
    </w:rPr>
  </w:style>
  <w:style w:type="paragraph" w:styleId="Overskrift5">
    <w:name w:val="heading 5"/>
    <w:basedOn w:val="Normal"/>
    <w:next w:val="Normal"/>
    <w:link w:val="Overskrift5Tegn"/>
    <w:uiPriority w:val="9"/>
    <w:unhideWhenUsed/>
    <w:qFormat/>
    <w:rsid w:val="001D6512"/>
    <w:pPr>
      <w:keepNext/>
      <w:keepLines/>
      <w:spacing w:before="240" w:after="60"/>
      <w:outlineLvl w:val="4"/>
    </w:pPr>
    <w:rPr>
      <w:rFonts w:eastAsiaTheme="majorEastAsia" w:cstheme="majorBidi"/>
      <w:i/>
    </w:rPr>
  </w:style>
  <w:style w:type="paragraph" w:styleId="Overskrift6">
    <w:name w:val="heading 6"/>
    <w:basedOn w:val="Normal"/>
    <w:next w:val="Normal"/>
    <w:link w:val="Overskrift6Tegn"/>
    <w:uiPriority w:val="9"/>
    <w:unhideWhenUsed/>
    <w:qFormat/>
    <w:rsid w:val="001D6512"/>
    <w:pPr>
      <w:keepNext/>
      <w:keepLines/>
      <w:spacing w:before="240" w:after="60"/>
      <w:outlineLvl w:val="5"/>
    </w:pPr>
    <w:rPr>
      <w:rFonts w:eastAsiaTheme="majorEastAsia" w:cstheme="majorBidi"/>
      <w: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B60103"/>
    <w:pPr>
      <w:spacing w:after="0" w:line="240" w:lineRule="auto"/>
    </w:pPr>
    <w:rPr>
      <w:rFonts w:ascii="Arial" w:hAnsi="Arial"/>
      <w:color w:val="000000" w:themeColor="text1"/>
    </w:rPr>
  </w:style>
  <w:style w:type="character" w:customStyle="1" w:styleId="Overskrift1Tegn">
    <w:name w:val="Overskrift 1 Tegn"/>
    <w:basedOn w:val="Standardskriftforavsnitt"/>
    <w:link w:val="Overskrift1"/>
    <w:uiPriority w:val="9"/>
    <w:rsid w:val="00D875E8"/>
    <w:rPr>
      <w:rFonts w:ascii="Arial" w:eastAsiaTheme="majorEastAsia" w:hAnsi="Arial" w:cstheme="majorBidi"/>
      <w:b/>
      <w:color w:val="000000" w:themeColor="text1"/>
      <w:sz w:val="30"/>
      <w:szCs w:val="32"/>
    </w:rPr>
  </w:style>
  <w:style w:type="character" w:customStyle="1" w:styleId="Overskrift2Tegn">
    <w:name w:val="Overskrift 2 Tegn"/>
    <w:basedOn w:val="Standardskriftforavsnitt"/>
    <w:link w:val="Overskrift2"/>
    <w:uiPriority w:val="9"/>
    <w:rsid w:val="001D6512"/>
    <w:rPr>
      <w:rFonts w:ascii="Arial" w:eastAsiaTheme="majorEastAsia" w:hAnsi="Arial" w:cstheme="majorBidi"/>
      <w:b/>
      <w:color w:val="000000" w:themeColor="text1"/>
      <w:sz w:val="26"/>
      <w:szCs w:val="26"/>
    </w:rPr>
  </w:style>
  <w:style w:type="character" w:customStyle="1" w:styleId="Overskrift3Tegn">
    <w:name w:val="Overskrift 3 Tegn"/>
    <w:basedOn w:val="Standardskriftforavsnitt"/>
    <w:link w:val="Overskrift3"/>
    <w:uiPriority w:val="9"/>
    <w:rsid w:val="001D6512"/>
    <w:rPr>
      <w:rFonts w:ascii="Arial" w:eastAsiaTheme="majorEastAsia" w:hAnsi="Arial" w:cstheme="majorBidi"/>
      <w:b/>
      <w:color w:val="000000" w:themeColor="text1"/>
      <w:szCs w:val="24"/>
    </w:rPr>
  </w:style>
  <w:style w:type="character" w:customStyle="1" w:styleId="Overskrift4Tegn">
    <w:name w:val="Overskrift 4 Tegn"/>
    <w:basedOn w:val="Standardskriftforavsnitt"/>
    <w:link w:val="Overskrift4"/>
    <w:uiPriority w:val="9"/>
    <w:rsid w:val="001D6512"/>
    <w:rPr>
      <w:rFonts w:ascii="Arial" w:eastAsiaTheme="majorEastAsia" w:hAnsi="Arial" w:cstheme="majorBidi"/>
      <w:b/>
      <w:i/>
      <w:iCs/>
      <w:color w:val="000000" w:themeColor="text1"/>
    </w:rPr>
  </w:style>
  <w:style w:type="character" w:customStyle="1" w:styleId="Overskrift5Tegn">
    <w:name w:val="Overskrift 5 Tegn"/>
    <w:basedOn w:val="Standardskriftforavsnitt"/>
    <w:link w:val="Overskrift5"/>
    <w:uiPriority w:val="9"/>
    <w:rsid w:val="001D6512"/>
    <w:rPr>
      <w:rFonts w:ascii="Arial" w:eastAsiaTheme="majorEastAsia" w:hAnsi="Arial" w:cstheme="majorBidi"/>
      <w:i/>
      <w:color w:val="000000" w:themeColor="text1"/>
    </w:rPr>
  </w:style>
  <w:style w:type="character" w:customStyle="1" w:styleId="Overskrift6Tegn">
    <w:name w:val="Overskrift 6 Tegn"/>
    <w:basedOn w:val="Standardskriftforavsnitt"/>
    <w:link w:val="Overskrift6"/>
    <w:uiPriority w:val="9"/>
    <w:rsid w:val="001D6512"/>
    <w:rPr>
      <w:rFonts w:ascii="Arial" w:eastAsiaTheme="majorEastAsia" w:hAnsi="Arial" w:cstheme="majorBidi"/>
      <w:i/>
      <w:color w:val="000000" w:themeColor="text1"/>
    </w:rPr>
  </w:style>
  <w:style w:type="character" w:styleId="Utheving">
    <w:name w:val="Emphasis"/>
    <w:basedOn w:val="Standardskriftforavsnitt"/>
    <w:uiPriority w:val="20"/>
    <w:qFormat/>
    <w:rsid w:val="001D6512"/>
    <w:rPr>
      <w:rFonts w:ascii="Arial" w:hAnsi="Arial"/>
      <w:i/>
      <w:iCs/>
    </w:rPr>
  </w:style>
  <w:style w:type="character" w:styleId="Sterkutheving">
    <w:name w:val="Intense Emphasis"/>
    <w:basedOn w:val="Standardskriftforavsnitt"/>
    <w:uiPriority w:val="21"/>
    <w:qFormat/>
    <w:rsid w:val="001D6512"/>
    <w:rPr>
      <w:rFonts w:ascii="Arial" w:hAnsi="Arial"/>
      <w:i/>
      <w:iCs/>
      <w:color w:val="000000" w:themeColor="text1"/>
    </w:rPr>
  </w:style>
  <w:style w:type="character" w:styleId="Sterk">
    <w:name w:val="Strong"/>
    <w:basedOn w:val="Standardskriftforavsnitt"/>
    <w:uiPriority w:val="22"/>
    <w:qFormat/>
    <w:rsid w:val="001D6512"/>
    <w:rPr>
      <w:rFonts w:ascii="Arial" w:hAnsi="Arial"/>
      <w:b/>
      <w:bCs/>
    </w:rPr>
  </w:style>
  <w:style w:type="paragraph" w:styleId="Sterktsitat">
    <w:name w:val="Intense Quote"/>
    <w:basedOn w:val="Normal"/>
    <w:next w:val="Normal"/>
    <w:link w:val="SterktsitatTegn"/>
    <w:uiPriority w:val="30"/>
    <w:qFormat/>
    <w:rsid w:val="001D6512"/>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SterktsitatTegn">
    <w:name w:val="Sterkt sitat Tegn"/>
    <w:basedOn w:val="Standardskriftforavsnitt"/>
    <w:link w:val="Sterktsitat"/>
    <w:uiPriority w:val="30"/>
    <w:rsid w:val="001D6512"/>
    <w:rPr>
      <w:rFonts w:ascii="Arial" w:hAnsi="Arial"/>
      <w:i/>
      <w:iCs/>
      <w:color w:val="000000" w:themeColor="text1"/>
    </w:rPr>
  </w:style>
  <w:style w:type="character" w:styleId="Svakreferanse">
    <w:name w:val="Subtle Reference"/>
    <w:basedOn w:val="Standardskriftforavsnitt"/>
    <w:uiPriority w:val="31"/>
    <w:qFormat/>
    <w:rsid w:val="001D6512"/>
    <w:rPr>
      <w:smallCaps/>
      <w:color w:val="5A5A5A" w:themeColor="text1" w:themeTint="A5"/>
    </w:rPr>
  </w:style>
  <w:style w:type="character" w:styleId="Sterkreferanse">
    <w:name w:val="Intense Reference"/>
    <w:basedOn w:val="Standardskriftforavsnitt"/>
    <w:uiPriority w:val="32"/>
    <w:qFormat/>
    <w:rsid w:val="001D6512"/>
    <w:rPr>
      <w:rFonts w:ascii="Arial" w:hAnsi="Arial"/>
      <w:b/>
      <w:bCs/>
      <w:smallCaps/>
      <w:color w:val="000000" w:themeColor="text1"/>
      <w:spacing w:val="5"/>
    </w:rPr>
  </w:style>
  <w:style w:type="paragraph" w:styleId="Topptekst">
    <w:name w:val="header"/>
    <w:basedOn w:val="Normal"/>
    <w:link w:val="TopptekstTegn"/>
    <w:uiPriority w:val="99"/>
    <w:unhideWhenUsed/>
    <w:rsid w:val="00031B50"/>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031B50"/>
    <w:rPr>
      <w:rFonts w:ascii="Arial" w:hAnsi="Arial"/>
      <w:color w:val="000000" w:themeColor="text1"/>
    </w:rPr>
  </w:style>
  <w:style w:type="paragraph" w:styleId="Bunntekst">
    <w:name w:val="footer"/>
    <w:basedOn w:val="Normal"/>
    <w:link w:val="BunntekstTegn"/>
    <w:uiPriority w:val="99"/>
    <w:unhideWhenUsed/>
    <w:rsid w:val="00031B50"/>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031B50"/>
    <w:rPr>
      <w:rFonts w:ascii="Arial" w:hAnsi="Arial"/>
      <w:color w:val="000000" w:themeColor="text1"/>
    </w:rPr>
  </w:style>
  <w:style w:type="paragraph" w:styleId="Listeavsnitt">
    <w:name w:val="List Paragraph"/>
    <w:basedOn w:val="Normal"/>
    <w:link w:val="ListeavsnittTegn"/>
    <w:uiPriority w:val="34"/>
    <w:qFormat/>
    <w:rsid w:val="00071198"/>
    <w:pPr>
      <w:ind w:left="720"/>
      <w:contextualSpacing/>
    </w:pPr>
  </w:style>
  <w:style w:type="paragraph" w:styleId="Bobletekst">
    <w:name w:val="Balloon Text"/>
    <w:basedOn w:val="Normal"/>
    <w:link w:val="BobletekstTegn"/>
    <w:uiPriority w:val="99"/>
    <w:semiHidden/>
    <w:unhideWhenUsed/>
    <w:rsid w:val="00F40123"/>
    <w:pPr>
      <w:spacing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F40123"/>
    <w:rPr>
      <w:rFonts w:ascii="Segoe UI" w:hAnsi="Segoe UI" w:cs="Segoe UI"/>
      <w:color w:val="000000" w:themeColor="text1"/>
      <w:sz w:val="18"/>
      <w:szCs w:val="18"/>
    </w:rPr>
  </w:style>
  <w:style w:type="character" w:styleId="Merknadsreferanse">
    <w:name w:val="annotation reference"/>
    <w:basedOn w:val="Standardskriftforavsnitt"/>
    <w:uiPriority w:val="99"/>
    <w:semiHidden/>
    <w:unhideWhenUsed/>
    <w:rsid w:val="00DC701F"/>
    <w:rPr>
      <w:sz w:val="16"/>
      <w:szCs w:val="16"/>
    </w:rPr>
  </w:style>
  <w:style w:type="paragraph" w:styleId="Merknadstekst">
    <w:name w:val="annotation text"/>
    <w:basedOn w:val="Normal"/>
    <w:link w:val="MerknadstekstTegn"/>
    <w:uiPriority w:val="99"/>
    <w:unhideWhenUsed/>
    <w:rsid w:val="00DC701F"/>
    <w:pPr>
      <w:spacing w:line="240" w:lineRule="auto"/>
    </w:pPr>
    <w:rPr>
      <w:sz w:val="20"/>
      <w:szCs w:val="20"/>
    </w:rPr>
  </w:style>
  <w:style w:type="character" w:customStyle="1" w:styleId="MerknadstekstTegn">
    <w:name w:val="Merknadstekst Tegn"/>
    <w:basedOn w:val="Standardskriftforavsnitt"/>
    <w:link w:val="Merknadstekst"/>
    <w:uiPriority w:val="99"/>
    <w:rsid w:val="00DC701F"/>
    <w:rPr>
      <w:rFonts w:ascii="Arial" w:hAnsi="Arial"/>
      <w:color w:val="000000" w:themeColor="text1"/>
      <w:sz w:val="20"/>
      <w:szCs w:val="20"/>
    </w:rPr>
  </w:style>
  <w:style w:type="paragraph" w:styleId="Kommentaremne">
    <w:name w:val="annotation subject"/>
    <w:basedOn w:val="Merknadstekst"/>
    <w:next w:val="Merknadstekst"/>
    <w:link w:val="KommentaremneTegn"/>
    <w:uiPriority w:val="99"/>
    <w:semiHidden/>
    <w:unhideWhenUsed/>
    <w:rsid w:val="00DC701F"/>
    <w:rPr>
      <w:b/>
      <w:bCs/>
    </w:rPr>
  </w:style>
  <w:style w:type="character" w:customStyle="1" w:styleId="KommentaremneTegn">
    <w:name w:val="Kommentaremne Tegn"/>
    <w:basedOn w:val="MerknadstekstTegn"/>
    <w:link w:val="Kommentaremne"/>
    <w:uiPriority w:val="99"/>
    <w:semiHidden/>
    <w:rsid w:val="00DC701F"/>
    <w:rPr>
      <w:rFonts w:ascii="Arial" w:hAnsi="Arial"/>
      <w:b/>
      <w:bCs/>
      <w:color w:val="000000" w:themeColor="text1"/>
      <w:sz w:val="20"/>
      <w:szCs w:val="20"/>
    </w:rPr>
  </w:style>
  <w:style w:type="character" w:customStyle="1" w:styleId="ListeavsnittTegn">
    <w:name w:val="Listeavsnitt Tegn"/>
    <w:basedOn w:val="Standardskriftforavsnitt"/>
    <w:link w:val="Listeavsnitt"/>
    <w:uiPriority w:val="34"/>
    <w:locked/>
    <w:rsid w:val="00832A94"/>
    <w:rPr>
      <w:rFonts w:ascii="Arial" w:hAnsi="Arial"/>
      <w:color w:val="000000" w:themeColor="text1"/>
    </w:rPr>
  </w:style>
  <w:style w:type="table" w:styleId="Tabellrutenett">
    <w:name w:val="Table Grid"/>
    <w:basedOn w:val="Vanligtabell"/>
    <w:uiPriority w:val="39"/>
    <w:rsid w:val="006A5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etekst">
    <w:name w:val="footnote text"/>
    <w:basedOn w:val="Normal"/>
    <w:link w:val="FotnotetekstTegn"/>
    <w:uiPriority w:val="99"/>
    <w:semiHidden/>
    <w:unhideWhenUsed/>
    <w:rsid w:val="009C5A13"/>
    <w:pPr>
      <w:spacing w:line="240" w:lineRule="auto"/>
    </w:pPr>
    <w:rPr>
      <w:sz w:val="20"/>
      <w:szCs w:val="20"/>
    </w:rPr>
  </w:style>
  <w:style w:type="character" w:customStyle="1" w:styleId="FotnotetekstTegn">
    <w:name w:val="Fotnotetekst Tegn"/>
    <w:basedOn w:val="Standardskriftforavsnitt"/>
    <w:link w:val="Fotnotetekst"/>
    <w:uiPriority w:val="99"/>
    <w:semiHidden/>
    <w:rsid w:val="009C5A13"/>
    <w:rPr>
      <w:rFonts w:ascii="Arial" w:hAnsi="Arial"/>
      <w:color w:val="000000" w:themeColor="text1"/>
      <w:sz w:val="20"/>
      <w:szCs w:val="20"/>
    </w:rPr>
  </w:style>
  <w:style w:type="character" w:styleId="Fotnotereferanse">
    <w:name w:val="footnote reference"/>
    <w:basedOn w:val="Standardskriftforavsnitt"/>
    <w:uiPriority w:val="99"/>
    <w:semiHidden/>
    <w:unhideWhenUsed/>
    <w:rsid w:val="009C5A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44710">
      <w:bodyDiv w:val="1"/>
      <w:marLeft w:val="0"/>
      <w:marRight w:val="0"/>
      <w:marTop w:val="0"/>
      <w:marBottom w:val="0"/>
      <w:divBdr>
        <w:top w:val="none" w:sz="0" w:space="0" w:color="auto"/>
        <w:left w:val="none" w:sz="0" w:space="0" w:color="auto"/>
        <w:bottom w:val="none" w:sz="0" w:space="0" w:color="auto"/>
        <w:right w:val="none" w:sz="0" w:space="0" w:color="auto"/>
      </w:divBdr>
    </w:div>
    <w:div w:id="192228890">
      <w:bodyDiv w:val="1"/>
      <w:marLeft w:val="0"/>
      <w:marRight w:val="0"/>
      <w:marTop w:val="0"/>
      <w:marBottom w:val="0"/>
      <w:divBdr>
        <w:top w:val="none" w:sz="0" w:space="0" w:color="auto"/>
        <w:left w:val="none" w:sz="0" w:space="0" w:color="auto"/>
        <w:bottom w:val="none" w:sz="0" w:space="0" w:color="auto"/>
        <w:right w:val="none" w:sz="0" w:space="0" w:color="auto"/>
      </w:divBdr>
    </w:div>
    <w:div w:id="264844174">
      <w:bodyDiv w:val="1"/>
      <w:marLeft w:val="0"/>
      <w:marRight w:val="0"/>
      <w:marTop w:val="0"/>
      <w:marBottom w:val="0"/>
      <w:divBdr>
        <w:top w:val="none" w:sz="0" w:space="0" w:color="auto"/>
        <w:left w:val="none" w:sz="0" w:space="0" w:color="auto"/>
        <w:bottom w:val="none" w:sz="0" w:space="0" w:color="auto"/>
        <w:right w:val="none" w:sz="0" w:space="0" w:color="auto"/>
      </w:divBdr>
    </w:div>
    <w:div w:id="890379926">
      <w:bodyDiv w:val="1"/>
      <w:marLeft w:val="0"/>
      <w:marRight w:val="0"/>
      <w:marTop w:val="0"/>
      <w:marBottom w:val="0"/>
      <w:divBdr>
        <w:top w:val="none" w:sz="0" w:space="0" w:color="auto"/>
        <w:left w:val="none" w:sz="0" w:space="0" w:color="auto"/>
        <w:bottom w:val="none" w:sz="0" w:space="0" w:color="auto"/>
        <w:right w:val="none" w:sz="0" w:space="0" w:color="auto"/>
      </w:divBdr>
    </w:div>
    <w:div w:id="1055161591">
      <w:bodyDiv w:val="1"/>
      <w:marLeft w:val="0"/>
      <w:marRight w:val="0"/>
      <w:marTop w:val="0"/>
      <w:marBottom w:val="0"/>
      <w:divBdr>
        <w:top w:val="none" w:sz="0" w:space="0" w:color="auto"/>
        <w:left w:val="none" w:sz="0" w:space="0" w:color="auto"/>
        <w:bottom w:val="none" w:sz="0" w:space="0" w:color="auto"/>
        <w:right w:val="none" w:sz="0" w:space="0" w:color="auto"/>
      </w:divBdr>
    </w:div>
    <w:div w:id="1475954194">
      <w:bodyDiv w:val="1"/>
      <w:marLeft w:val="0"/>
      <w:marRight w:val="0"/>
      <w:marTop w:val="0"/>
      <w:marBottom w:val="0"/>
      <w:divBdr>
        <w:top w:val="none" w:sz="0" w:space="0" w:color="auto"/>
        <w:left w:val="none" w:sz="0" w:space="0" w:color="auto"/>
        <w:bottom w:val="none" w:sz="0" w:space="0" w:color="auto"/>
        <w:right w:val="none" w:sz="0" w:space="0" w:color="auto"/>
      </w:divBdr>
    </w:div>
    <w:div w:id="1560431849">
      <w:bodyDiv w:val="1"/>
      <w:marLeft w:val="0"/>
      <w:marRight w:val="0"/>
      <w:marTop w:val="0"/>
      <w:marBottom w:val="0"/>
      <w:divBdr>
        <w:top w:val="none" w:sz="0" w:space="0" w:color="auto"/>
        <w:left w:val="none" w:sz="0" w:space="0" w:color="auto"/>
        <w:bottom w:val="none" w:sz="0" w:space="0" w:color="auto"/>
        <w:right w:val="none" w:sz="0" w:space="0" w:color="auto"/>
      </w:divBdr>
    </w:div>
    <w:div w:id="1566381197">
      <w:bodyDiv w:val="1"/>
      <w:marLeft w:val="0"/>
      <w:marRight w:val="0"/>
      <w:marTop w:val="0"/>
      <w:marBottom w:val="0"/>
      <w:divBdr>
        <w:top w:val="none" w:sz="0" w:space="0" w:color="auto"/>
        <w:left w:val="none" w:sz="0" w:space="0" w:color="auto"/>
        <w:bottom w:val="none" w:sz="0" w:space="0" w:color="auto"/>
        <w:right w:val="none" w:sz="0" w:space="0" w:color="auto"/>
      </w:divBdr>
    </w:div>
    <w:div w:id="1771655426">
      <w:bodyDiv w:val="1"/>
      <w:marLeft w:val="0"/>
      <w:marRight w:val="0"/>
      <w:marTop w:val="0"/>
      <w:marBottom w:val="0"/>
      <w:divBdr>
        <w:top w:val="none" w:sz="0" w:space="0" w:color="auto"/>
        <w:left w:val="none" w:sz="0" w:space="0" w:color="auto"/>
        <w:bottom w:val="none" w:sz="0" w:space="0" w:color="auto"/>
        <w:right w:val="none" w:sz="0" w:space="0" w:color="auto"/>
      </w:divBdr>
    </w:div>
    <w:div w:id="213335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fdc76af098e4c7f98490d5710fce5b2 xmlns="3f569d68-fe6b-447f-a13f-e72ede57b036">
      <Terms xmlns="http://schemas.microsoft.com/office/infopath/2007/PartnerControls">
        <TermInfo xmlns="http://schemas.microsoft.com/office/infopath/2007/PartnerControls">
          <TermName xmlns="http://schemas.microsoft.com/office/infopath/2007/PartnerControls">Arbeidsmiljø- og sikkerhetsavdelingen (AMS)</TermName>
          <TermId xmlns="http://schemas.microsoft.com/office/infopath/2007/PartnerControls">f03254fd-9f2a-4444-9ea5-b9e07ec726c8</TermId>
        </TermInfo>
      </Terms>
    </ofdc76af098e4c7f98490d5710fce5b2>
    <DssFremhevet xmlns="3f569d68-fe6b-447f-a13f-e72ede57b036">false</DssFremhevet>
    <AssignedTo xmlns="http://schemas.microsoft.com/sharepoint/v3">
      <UserInfo>
        <DisplayName/>
        <AccountId xsi:nil="true"/>
        <AccountType/>
      </UserInfo>
    </AssignedTo>
    <ec4548291c174201804f8d6e346b5e78 xmlns="3f569d68-fe6b-447f-a13f-e72ede57b036">
      <Terms xmlns="http://schemas.microsoft.com/office/infopath/2007/PartnerControls"/>
    </ec4548291c174201804f8d6e346b5e78>
    <TaxCatchAll xmlns="3f569d68-fe6b-447f-a13f-e72ede57b036">
      <Value>2</Value>
      <Value>1</Value>
    </TaxCatchAll>
    <DssRelaterteOppgaver xmlns="3f569d68-fe6b-447f-a13f-e72ede57b036"/>
    <f2f49eccf7d24422907cdfb28d82571e xmlns="3f569d68-fe6b-447f-a13f-e72ede57b036">
      <Terms xmlns="http://schemas.microsoft.com/office/infopath/2007/PartnerControls">
        <TermInfo xmlns="http://schemas.microsoft.com/office/infopath/2007/PartnerControls">
          <TermName xmlns="http://schemas.microsoft.com/office/infopath/2007/PartnerControls">Arbeids- og sosialdepartementet</TermName>
          <TermId xmlns="http://schemas.microsoft.com/office/infopath/2007/PartnerControls">2371f735-5b6d-4630-a13f-f95f88ee45fe</TermId>
        </TermInfo>
      </Terms>
    </f2f49eccf7d24422907cdfb28d82571e>
    <DssArchivable xmlns="793ad56b-b905-482f-99c7-e0ad214f35d2">false</DssArchivable>
    <DssWebsakRef xmlns="793ad56b-b905-482f-99c7-e0ad214f35d2" xsi:nil="true"/>
    <a20ae09631c242aba34ef34320889782 xmlns="3f569d68-fe6b-447f-a13f-e72ede57b036">
      <Terms xmlns="http://schemas.microsoft.com/office/infopath/2007/PartnerControls"/>
    </a20ae09631c242aba34ef34320889782>
    <l917ce326c5a48e1a29f6235eea1cd41 xmlns="3f569d68-fe6b-447f-a13f-e72ede57b036">
      <Terms xmlns="http://schemas.microsoft.com/office/infopath/2007/PartnerControls"/>
    </l917ce326c5a48e1a29f6235eea1cd41>
    <ja062c7924ed4f31b584a4220ff29390 xmlns="3f569d68-fe6b-447f-a13f-e72ede57b036">
      <Terms xmlns="http://schemas.microsoft.com/office/infopath/2007/PartnerControls"/>
    </ja062c7924ed4f31b584a4220ff29390>
  </documentManagement>
</p:properties>
</file>

<file path=customXml/item3.xml><?xml version="1.0" encoding="utf-8"?>
<ct:contentTypeSchema xmlns:ct="http://schemas.microsoft.com/office/2006/metadata/contentType" xmlns:ma="http://schemas.microsoft.com/office/2006/metadata/properties/metaAttributes" ct:_="" ma:_="" ma:contentTypeName="Tekstdokument" ma:contentTypeID="0x0101002C1B27F07ED111E5A8370800200C9A66010100E860E4BD3A189549AF516296E9D5EE47" ma:contentTypeVersion="2" ma:contentTypeDescription="Opprett et nytt dokument." ma:contentTypeScope="" ma:versionID="20b63d856c2adb8c2494d71674c22d6f">
  <xsd:schema xmlns:xsd="http://www.w3.org/2001/XMLSchema" xmlns:xs="http://www.w3.org/2001/XMLSchema" xmlns:p="http://schemas.microsoft.com/office/2006/metadata/properties" xmlns:ns1="http://schemas.microsoft.com/sharepoint/v3" xmlns:ns2="3f569d68-fe6b-447f-a13f-e72ede57b036" xmlns:ns3="793ad56b-b905-482f-99c7-e0ad214f35d2" targetNamespace="http://schemas.microsoft.com/office/2006/metadata/properties" ma:root="true" ma:fieldsID="55050a32d898f4e45ca989a423de11ef" ns1:_="" ns2:_="" ns3:_="">
    <xsd:import namespace="http://schemas.microsoft.com/sharepoint/v3"/>
    <xsd:import namespace="3f569d68-fe6b-447f-a13f-e72ede57b036"/>
    <xsd:import namespace="793ad56b-b905-482f-99c7-e0ad214f35d2"/>
    <xsd:element name="properties">
      <xsd:complexType>
        <xsd:sequence>
          <xsd:element name="documentManagement">
            <xsd:complexType>
              <xsd:all>
                <xsd:element ref="ns1:AssignedTo" minOccurs="0"/>
                <xsd:element ref="ns3:DssWebsakRef" minOccurs="0"/>
                <xsd:element ref="ns3:DssArchivable" minOccurs="0"/>
                <xsd:element ref="ns2:DssFremhevet" minOccurs="0"/>
                <xsd:element ref="ns2:DssRelaterteOppgaver" minOccurs="0"/>
                <xsd:element ref="ns2:ofdc76af098e4c7f98490d5710fce5b2" minOccurs="0"/>
                <xsd:element ref="ns2:ec4548291c174201804f8d6e346b5e78" minOccurs="0"/>
                <xsd:element ref="ns2:ja062c7924ed4f31b584a4220ff29390" minOccurs="0"/>
                <xsd:element ref="ns2:a20ae09631c242aba34ef34320889782" minOccurs="0"/>
                <xsd:element ref="ns2:l917ce326c5a48e1a29f6235eea1cd41" minOccurs="0"/>
                <xsd:element ref="ns2:TaxCatchAll" minOccurs="0"/>
                <xsd:element ref="ns2:TaxCatchAllLabel" minOccurs="0"/>
                <xsd:element ref="ns2:f2f49eccf7d24422907cdfb28d82571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7" nillable="true" ma:displayName="Tilordnet til"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f569d68-fe6b-447f-a13f-e72ede57b036" elementFormDefault="qualified">
    <xsd:import namespace="http://schemas.microsoft.com/office/2006/documentManagement/types"/>
    <xsd:import namespace="http://schemas.microsoft.com/office/infopath/2007/PartnerControls"/>
    <xsd:element name="DssFremhevet" ma:index="11" nillable="true" ma:displayName="Fremhevet" ma:default="False" ma:description="Fremhevet dokument vises på Om rommet siden." ma:internalName="DssFremhevet">
      <xsd:simpleType>
        <xsd:restriction base="dms:Boolean"/>
      </xsd:simpleType>
    </xsd:element>
    <xsd:element name="DssRelaterteOppgaver" ma:index="12" nillable="true" ma:displayName="Relaterte oppgaver" ma:list="{af55f424-07e5-4e41-8e23-31a8ba170af2}" ma:internalName="DssRelaterteOppgaver" ma:showField="Title" ma:web="3f569d68-fe6b-447f-a13f-e72ede57b036">
      <xsd:complexType>
        <xsd:complexContent>
          <xsd:extension base="dms:MultiChoiceLookup">
            <xsd:sequence>
              <xsd:element name="Value" type="dms:Lookup" maxOccurs="unbounded" minOccurs="0" nillable="true"/>
            </xsd:sequence>
          </xsd:extension>
        </xsd:complexContent>
      </xsd:complexType>
    </xsd:element>
    <xsd:element name="ofdc76af098e4c7f98490d5710fce5b2" ma:index="14" nillable="true" ma:taxonomy="true" ma:internalName="ofdc76af098e4c7f98490d5710fce5b2" ma:taxonomyFieldName="DssAvdeling" ma:displayName="Avdeling" ma:fieldId="{8fdc76af-098e-4c7f-9849-0d5710fce5b2}" ma:sspId="dd1c9695-082f-4d62-9abb-ef5a22d84609" ma:termSetId="13c90cc6-0f43-4adb-b19c-c400e157a76b" ma:anchorId="2371f735-5b6d-4630-a13f-f95f88ee45fe" ma:open="false" ma:isKeyword="false">
      <xsd:complexType>
        <xsd:sequence>
          <xsd:element ref="pc:Terms" minOccurs="0" maxOccurs="1"/>
        </xsd:sequence>
      </xsd:complexType>
    </xsd:element>
    <xsd:element name="ec4548291c174201804f8d6e346b5e78" ma:index="16" nillable="true" ma:taxonomy="true" ma:internalName="ec4548291c174201804f8d6e346b5e78" ma:taxonomyFieldName="DssFunksjon" ma:displayName="Funksjon" ma:fieldId="{ec454829-1c17-4201-804f-8d6e346b5e78}" ma:sspId="dd1c9695-082f-4d62-9abb-ef5a22d84609" ma:termSetId="1d0cee9e-e85d-4bdd-9786-976123513522" ma:anchorId="00000000-0000-0000-0000-000000000000" ma:open="false" ma:isKeyword="false">
      <xsd:complexType>
        <xsd:sequence>
          <xsd:element ref="pc:Terms" minOccurs="0" maxOccurs="1"/>
        </xsd:sequence>
      </xsd:complexType>
    </xsd:element>
    <xsd:element name="ja062c7924ed4f31b584a4220ff29390" ma:index="18" nillable="true" ma:taxonomy="true" ma:internalName="ja062c7924ed4f31b584a4220ff29390" ma:taxonomyFieldName="DssEmneord" ma:displayName="Emneord" ma:fieldId="{3a062c79-24ed-4f31-b584-a4220ff29390}" ma:taxonomyMulti="true" ma:sspId="dd1c9695-082f-4d62-9abb-ef5a22d84609" ma:termSetId="76727dcf-a431-492e-96ad-c8e0e60c175f" ma:anchorId="f1bc42b6-57df-4f73-ad9c-c0dc3a848b98" ma:open="false" ma:isKeyword="false">
      <xsd:complexType>
        <xsd:sequence>
          <xsd:element ref="pc:Terms" minOccurs="0" maxOccurs="1"/>
        </xsd:sequence>
      </xsd:complexType>
    </xsd:element>
    <xsd:element name="a20ae09631c242aba34ef34320889782" ma:index="21" nillable="true" ma:taxonomy="true" ma:internalName="a20ae09631c242aba34ef34320889782" ma:taxonomyFieldName="DssDokumenttype" ma:displayName="Dokumenttype" ma:fieldId="{a20ae096-31c2-42ab-a34e-f34320889782}" ma:sspId="dd1c9695-082f-4d62-9abb-ef5a22d84609" ma:termSetId="2940f9e4-12fa-42a9-a3bf-9ffc3aafec7a" ma:anchorId="00000000-0000-0000-0000-000000000000" ma:open="false" ma:isKeyword="false">
      <xsd:complexType>
        <xsd:sequence>
          <xsd:element ref="pc:Terms" minOccurs="0" maxOccurs="1"/>
        </xsd:sequence>
      </xsd:complexType>
    </xsd:element>
    <xsd:element name="l917ce326c5a48e1a29f6235eea1cd41" ma:index="22" nillable="true" ma:taxonomy="true" ma:internalName="l917ce326c5a48e1a29f6235eea1cd41" ma:taxonomyFieldName="DssRomtype" ma:displayName="Romtype" ma:readOnly="false" ma:fieldId="{5917ce32-6c5a-48e1-a29f-6235eea1cd41}" ma:sspId="dd1c9695-082f-4d62-9abb-ef5a22d84609" ma:termSetId="8e869b01-24d9-45a0-980a-bd4a553ad3c2" ma:anchorId="00000000-0000-0000-0000-000000000000" ma:open="false" ma:isKeyword="false">
      <xsd:complexType>
        <xsd:sequence>
          <xsd:element ref="pc:Terms" minOccurs="0" maxOccurs="1"/>
        </xsd:sequence>
      </xsd:complexType>
    </xsd:element>
    <xsd:element name="TaxCatchAll" ma:index="23" nillable="true" ma:displayName="Global taksonomikolonne" ma:hidden="true" ma:list="{f434f15b-6333-42c4-90e2-a4e57555e0e2}" ma:internalName="TaxCatchAll" ma:showField="CatchAllData" ma:web="3f569d68-fe6b-447f-a13f-e72ede57b036">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Global taksonomikolonne1" ma:hidden="true" ma:list="{f434f15b-6333-42c4-90e2-a4e57555e0e2}" ma:internalName="TaxCatchAllLabel" ma:readOnly="true" ma:showField="CatchAllDataLabel" ma:web="3f569d68-fe6b-447f-a13f-e72ede57b036">
      <xsd:complexType>
        <xsd:complexContent>
          <xsd:extension base="dms:MultiChoiceLookup">
            <xsd:sequence>
              <xsd:element name="Value" type="dms:Lookup" maxOccurs="unbounded" minOccurs="0" nillable="true"/>
            </xsd:sequence>
          </xsd:extension>
        </xsd:complexContent>
      </xsd:complexType>
    </xsd:element>
    <xsd:element name="f2f49eccf7d24422907cdfb28d82571e" ma:index="26" nillable="true" ma:taxonomy="true" ma:internalName="f2f49eccf7d24422907cdfb28d82571e" ma:taxonomyFieldName="DssDepartement" ma:displayName="Departement" ma:fieldId="{f2f49ecc-f7d2-4422-907c-dfb28d82571e}" ma:sspId="dd1c9695-082f-4d62-9abb-ef5a22d84609" ma:termSetId="13c90cc6-0f43-4adb-b19c-c400e157a76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3ad56b-b905-482f-99c7-e0ad214f35d2" elementFormDefault="qualified">
    <xsd:import namespace="http://schemas.microsoft.com/office/2006/documentManagement/types"/>
    <xsd:import namespace="http://schemas.microsoft.com/office/infopath/2007/PartnerControls"/>
    <xsd:element name="DssWebsakRef" ma:index="9" nillable="true" ma:displayName="Arkivreferanse" ma:description="Referanse i arkivsystem" ma:internalName="DssWebsakRef">
      <xsd:simpleType>
        <xsd:restriction base="dms:Text"/>
      </xsd:simpleType>
    </xsd:element>
    <xsd:element name="DssArchivable" ma:index="10" nillable="true" ma:displayName="Arkivpliktig" ma:description="Er dokumentet arkivpliktig?" ma:internalName="DssArchivab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023D5-C9F9-402F-8523-4889992D0350}">
  <ds:schemaRefs>
    <ds:schemaRef ds:uri="http://schemas.microsoft.com/sharepoint/v3/contenttype/forms"/>
  </ds:schemaRefs>
</ds:datastoreItem>
</file>

<file path=customXml/itemProps2.xml><?xml version="1.0" encoding="utf-8"?>
<ds:datastoreItem xmlns:ds="http://schemas.openxmlformats.org/officeDocument/2006/customXml" ds:itemID="{1F4C135D-7729-488B-9EFE-AB706F4719ED}">
  <ds:schemaRefs>
    <ds:schemaRef ds:uri="http://schemas.microsoft.com/office/2006/metadata/properties"/>
    <ds:schemaRef ds:uri="http://schemas.microsoft.com/office/infopath/2007/PartnerControls"/>
    <ds:schemaRef ds:uri="3f569d68-fe6b-447f-a13f-e72ede57b036"/>
    <ds:schemaRef ds:uri="http://schemas.microsoft.com/sharepoint/v3"/>
    <ds:schemaRef ds:uri="793ad56b-b905-482f-99c7-e0ad214f35d2"/>
  </ds:schemaRefs>
</ds:datastoreItem>
</file>

<file path=customXml/itemProps3.xml><?xml version="1.0" encoding="utf-8"?>
<ds:datastoreItem xmlns:ds="http://schemas.openxmlformats.org/officeDocument/2006/customXml" ds:itemID="{F838F24D-328E-44A7-8747-F20A2FBF0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569d68-fe6b-447f-a13f-e72ede57b036"/>
    <ds:schemaRef ds:uri="793ad56b-b905-482f-99c7-e0ad214f35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33A726-FCE0-4066-B13C-2756B3EB7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3310</Words>
  <Characters>17543</Characters>
  <Application>Microsoft Office Word</Application>
  <DocSecurity>0</DocSecurity>
  <Lines>146</Lines>
  <Paragraphs>41</Paragraphs>
  <ScaleCrop>false</ScaleCrop>
  <HeadingPairs>
    <vt:vector size="2" baseType="variant">
      <vt:variant>
        <vt:lpstr>Tittel</vt:lpstr>
      </vt:variant>
      <vt:variant>
        <vt:i4>1</vt:i4>
      </vt:variant>
    </vt:vector>
  </HeadingPairs>
  <TitlesOfParts>
    <vt:vector size="1" baseType="lpstr">
      <vt:lpstr/>
    </vt:vector>
  </TitlesOfParts>
  <Company>DSS</Company>
  <LinksUpToDate>false</LinksUpToDate>
  <CharactersWithSpaces>20812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Kjeldsberg Tone</dc:creator>
  <cp:lastModifiedBy>Liv Hilde Hansen</cp:lastModifiedBy>
  <cp:revision>2</cp:revision>
  <cp:lastPrinted>2018-12-14T11:44:00Z</cp:lastPrinted>
  <dcterms:created xsi:type="dcterms:W3CDTF">2018-12-17T18:04:00Z</dcterms:created>
  <dcterms:modified xsi:type="dcterms:W3CDTF">2018-12-17T18:04:00Z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0x0101002C1B27F07ED111E5A8370800200C9A66010100E860E4BD3A189549AF516296E9D5EE47</vt:lpwstr>
  </property>
  <property fmtid="{D5CDD505-2E9C-101B-9397-08002B2CF9AE}" pid="3" name="DssAvdeling">
    <vt:lpwstr>2;#Arbeidsmiljø- og sikkerhetsavdelingen (AMS)|f03254fd-9f2a-4444-9ea5-b9e07ec726c8</vt:lpwstr>
  </property>
  <property fmtid="{D5CDD505-2E9C-101B-9397-08002B2CF9AE}" pid="4" name="DssDepartement">
    <vt:lpwstr>1;#Arbeids- og sosialdepartementet|2371f735-5b6d-4630-a13f-f95f88ee45fe</vt:lpwstr>
  </property>
  <property fmtid="{D5CDD505-2E9C-101B-9397-08002B2CF9AE}" pid="5" name="DssEmneord">
    <vt:lpwstr/>
  </property>
  <property fmtid="{D5CDD505-2E9C-101B-9397-08002B2CF9AE}" pid="6" name="DssFunksjon">
    <vt:lpwstr/>
  </property>
  <property fmtid="{D5CDD505-2E9C-101B-9397-08002B2CF9AE}" pid="7" name="DssDokumenttype">
    <vt:lpwstr/>
  </property>
  <property fmtid="{D5CDD505-2E9C-101B-9397-08002B2CF9AE}" pid="8" name="DssRomtype">
    <vt:lpwstr/>
  </property>
</Properties>
</file>